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6F3D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6"/>
          <w:szCs w:val="6"/>
          <w:lang w:val="es-MX"/>
        </w:rPr>
      </w:pPr>
      <w:bookmarkStart w:id="0" w:name="_GoBack"/>
      <w:bookmarkEnd w:id="0"/>
    </w:p>
    <w:p w14:paraId="18AB1C41" w14:textId="6B07E392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C.C. DIPUTADOS INTEGRANTES DE LA </w:t>
      </w:r>
      <w:r w:rsidR="000832A1"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MESA DIRECTIVA</w:t>
      </w:r>
    </w:p>
    <w:p w14:paraId="776799B7" w14:textId="77777777" w:rsidR="00334778" w:rsidRPr="009916E0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9916E0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DE LA LX LEGISLATURA </w:t>
      </w:r>
    </w:p>
    <w:p w14:paraId="5C80F2D8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DEL HONORABLE CONGRESO DEL ESTADO DE PUEBLA</w:t>
      </w:r>
    </w:p>
    <w:p w14:paraId="59F141ED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P R E S E N T E S.</w:t>
      </w:r>
    </w:p>
    <w:p w14:paraId="177B0BCC" w14:textId="77777777" w:rsidR="00334778" w:rsidRPr="00BC0E5F" w:rsidRDefault="00334778" w:rsidP="00334778">
      <w:pPr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6805DC2" w14:textId="77777777" w:rsidR="00334778" w:rsidRPr="00BC0E5F" w:rsidRDefault="00334778" w:rsidP="00334778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Quien suscribe, </w:t>
      </w: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DIPUTADO GABRIEL OSWALDO JIMÉNEZ LÓPEZ, INTEGRANTE DEL GRUPO LEGISLATIVO DEL PARTIDO ACCIÓN NACIONAL DE LA LX LEGISLATURA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</w:t>
      </w: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>con fundamento en lo dispuesto por los artículos 44 fracción II, 144 fracción II, 146 y 147 de la Ley Orgánica del Poder Legislativo del Estado Libre y Soberano de Puebla y 120 fracción VI del Reglamento Interior de Honorable Congreso del Estado, someto a la consideración de esta Soberanía el presente Acuerdo bajo el siguiente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:</w:t>
      </w:r>
    </w:p>
    <w:p w14:paraId="6599D4B5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59821FE9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CONSIDERANDO</w:t>
      </w:r>
    </w:p>
    <w:p w14:paraId="4C8C361E" w14:textId="77777777" w:rsidR="000832A1" w:rsidRPr="00BC0E5F" w:rsidRDefault="000832A1" w:rsidP="000832A1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0B307F4C" w14:textId="522562B5" w:rsidR="00B64FA4" w:rsidRPr="00BC0E5F" w:rsidRDefault="009729D2" w:rsidP="00B64FA4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I.-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0832A1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El día de ayer 07 de octubre de 2019 </w:t>
      </w:r>
      <w:r w:rsidR="00BC0E5F">
        <w:rPr>
          <w:rFonts w:ascii="Bookman Old Style" w:eastAsia="Calibri" w:hAnsi="Bookman Old Style" w:cs="Arial"/>
          <w:bCs/>
          <w:sz w:val="24"/>
          <w:szCs w:val="24"/>
        </w:rPr>
        <w:t xml:space="preserve">el </w:t>
      </w:r>
      <w:r w:rsidR="00BC0E5F" w:rsidRPr="00BC0E5F">
        <w:rPr>
          <w:rFonts w:ascii="Bookman Old Style" w:eastAsia="Calibri" w:hAnsi="Bookman Old Style" w:cs="Arial"/>
          <w:b/>
          <w:bCs/>
          <w:sz w:val="24"/>
          <w:szCs w:val="24"/>
        </w:rPr>
        <w:t>T</w:t>
      </w:r>
      <w:r w:rsidR="000832A1" w:rsidRPr="00BC0E5F">
        <w:rPr>
          <w:rFonts w:ascii="Bookman Old Style" w:eastAsia="Calibri" w:hAnsi="Bookman Old Style" w:cs="Arial"/>
          <w:b/>
          <w:bCs/>
          <w:sz w:val="24"/>
          <w:szCs w:val="24"/>
        </w:rPr>
        <w:t>itular de la Secretaría de Mo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vilidad y </w:t>
      </w:r>
      <w:r w:rsidR="000832A1" w:rsidRPr="00BC0E5F">
        <w:rPr>
          <w:rFonts w:ascii="Bookman Old Style" w:eastAsia="Calibri" w:hAnsi="Bookman Old Style" w:cs="Arial"/>
          <w:b/>
          <w:bCs/>
          <w:sz w:val="24"/>
          <w:szCs w:val="24"/>
        </w:rPr>
        <w:t>Transporte,</w:t>
      </w:r>
      <w:r w:rsidR="00E23938"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C. </w:t>
      </w:r>
      <w:r w:rsidR="00E23938" w:rsidRPr="00BC0E5F">
        <w:rPr>
          <w:rFonts w:ascii="Bookman Old Style" w:eastAsia="Calibri" w:hAnsi="Bookman Old Style" w:cs="Arial"/>
          <w:b/>
          <w:bCs/>
          <w:sz w:val="24"/>
          <w:szCs w:val="24"/>
        </w:rPr>
        <w:t>José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 Guillermo Aréchiga Santamaría</w:t>
      </w:r>
      <w:r w:rsidR="00B64FA4" w:rsidRPr="00BC0E5F">
        <w:rPr>
          <w:rFonts w:ascii="Bookman Old Style" w:eastAsia="Calibri" w:hAnsi="Bookman Old Style" w:cs="Arial"/>
          <w:bCs/>
          <w:sz w:val="24"/>
          <w:szCs w:val="24"/>
        </w:rPr>
        <w:t xml:space="preserve"> anunció el 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  <w:lang w:val="es-ES"/>
        </w:rPr>
        <w:t>aumento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 de la 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  <w:lang w:val="es-ES"/>
        </w:rPr>
        <w:t>tarifa</w:t>
      </w:r>
      <w:r w:rsidR="00B64FA4" w:rsidRPr="00BC0E5F">
        <w:rPr>
          <w:rFonts w:ascii="Bookman Old Style" w:eastAsia="Calibri" w:hAnsi="Bookman Old Style" w:cs="Arial"/>
          <w:b/>
          <w:bCs/>
          <w:sz w:val="24"/>
          <w:szCs w:val="24"/>
        </w:rPr>
        <w:t xml:space="preserve"> del transporte público</w:t>
      </w:r>
      <w:r w:rsidR="00B64FA4" w:rsidRPr="00BC0E5F">
        <w:rPr>
          <w:rFonts w:ascii="Bookman Old Style" w:eastAsia="Calibri" w:hAnsi="Bookman Old Style" w:cs="Arial"/>
          <w:bCs/>
          <w:sz w:val="24"/>
          <w:szCs w:val="24"/>
        </w:rPr>
        <w:t xml:space="preserve"> </w:t>
      </w:r>
      <w:r w:rsidR="00B64FA4" w:rsidRPr="005529CF">
        <w:rPr>
          <w:rFonts w:ascii="Bookman Old Style" w:eastAsia="Calibri" w:hAnsi="Bookman Old Style" w:cs="Arial"/>
          <w:sz w:val="24"/>
          <w:szCs w:val="24"/>
          <w:lang w:val="es-MX"/>
        </w:rPr>
        <w:t>la cual se incrementará en 2.50 pesos, quedando de la siguiente manera:</w:t>
      </w:r>
    </w:p>
    <w:p w14:paraId="45B070A8" w14:textId="77777777" w:rsidR="00B64FA4" w:rsidRPr="00BC0E5F" w:rsidRDefault="00B64FA4" w:rsidP="00B64FA4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5D537833" w14:textId="7E175D96" w:rsidR="00B64FA4" w:rsidRPr="00BC0E5F" w:rsidRDefault="00152983" w:rsidP="00B64FA4">
      <w:pPr>
        <w:pStyle w:val="Prrafodelista"/>
        <w:numPr>
          <w:ilvl w:val="0"/>
          <w:numId w:val="7"/>
        </w:numPr>
        <w:spacing w:after="200" w:line="276" w:lineRule="auto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AUTOBÚS o MINIBÚS / MICROBÚS </w:t>
      </w:r>
      <w:r w:rsidR="00B64FA4"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 $8.50</w:t>
      </w:r>
    </w:p>
    <w:p w14:paraId="7FBB887D" w14:textId="6637195D" w:rsidR="00B64FA4" w:rsidRPr="00BC0E5F" w:rsidRDefault="00B64FA4" w:rsidP="00B64FA4">
      <w:pPr>
        <w:pStyle w:val="Prrafodelista"/>
        <w:numPr>
          <w:ilvl w:val="0"/>
          <w:numId w:val="7"/>
        </w:numPr>
        <w:spacing w:after="200" w:line="276" w:lineRule="auto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VAN $ 8.00</w:t>
      </w:r>
    </w:p>
    <w:p w14:paraId="2AF51736" w14:textId="2299A7DC" w:rsidR="00DD5C72" w:rsidRPr="00BC0E5F" w:rsidRDefault="00B64FA4" w:rsidP="00B64FA4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Lo anterior de conformidad a un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Acuerdo</w:t>
      </w:r>
      <w:r w:rsidR="004A14EC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de dignificación y renovación de parque vehicular 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firmado</w:t>
      </w:r>
      <w:r w:rsidR="004A14EC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entre el Gobierno del Estado y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los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Transportistas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que tiene como objetivo el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mejorar 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las condiciones de las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unidades 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y la movilidad en el estado, entre los puntos se encuentra la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actualización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en la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tarifa del pasaje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, terminar con el 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ES"/>
        </w:rPr>
        <w:t>pirataje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las rutas, implementar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sistemas de seguridad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al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interior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las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unidades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como 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cáma</w:t>
      </w:r>
      <w:r w:rsidR="00DD5C72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ras, sistema GPS,</w:t>
      </w:r>
      <w:r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botones de pánico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="00DD5C72"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DD5C72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tecnología que tendrá que estar vinculada a la </w:t>
      </w:r>
      <w:r w:rsidR="00DD5C72" w:rsidRPr="00BC0E5F">
        <w:rPr>
          <w:rFonts w:ascii="Bookman Old Style" w:eastAsia="Calibri" w:hAnsi="Bookman Old Style" w:cs="Arial"/>
          <w:sz w:val="24"/>
          <w:szCs w:val="24"/>
          <w:lang w:val="es-MX"/>
        </w:rPr>
        <w:t>Secretaría de Seguridad Pública;</w:t>
      </w:r>
    </w:p>
    <w:p w14:paraId="313DBE76" w14:textId="2379F402" w:rsidR="000832A1" w:rsidRPr="00BC0E5F" w:rsidRDefault="00DD5C72" w:rsidP="00B64FA4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Así</w:t>
      </w:r>
      <w:r w:rsidR="00B64FA4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como la sustitución de </w:t>
      </w:r>
      <w:r w:rsidR="007F3E9D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aquellas unidades </w:t>
      </w:r>
      <w:r w:rsidR="00B64FA4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que ya </w:t>
      </w:r>
      <w:r w:rsidR="00152983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no se encuentran en buen estado, entre otros puntos.</w:t>
      </w:r>
    </w:p>
    <w:p w14:paraId="5405A0BD" w14:textId="77777777" w:rsidR="00B64FA4" w:rsidRPr="00BC0E5F" w:rsidRDefault="00B64FA4" w:rsidP="000832A1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</w:p>
    <w:p w14:paraId="4EF271FA" w14:textId="77777777" w:rsidR="00DD5C72" w:rsidRPr="00BC0E5F" w:rsidRDefault="001122EC" w:rsidP="00DD5C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</w:pPr>
      <w:r w:rsidRPr="00BC0E5F"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  <w:t xml:space="preserve">“Esta actualización de la tarifa permita la inversión, permita la modernización y permita la dignificación del transporte público para las y los </w:t>
      </w:r>
      <w:r w:rsidRPr="00BC0E5F"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  <w:lastRenderedPageBreak/>
        <w:t>usuarios, fundamentalmente en lo que tiene que ver en las medidas de prevención de seguridad y la no discriminación”</w:t>
      </w:r>
    </w:p>
    <w:p w14:paraId="3D70E9EE" w14:textId="77777777" w:rsidR="00DD5C72" w:rsidRPr="00BC0E5F" w:rsidRDefault="00DD5C72" w:rsidP="00DD5C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</w:pPr>
    </w:p>
    <w:p w14:paraId="7A0B237D" w14:textId="77777777" w:rsidR="00152983" w:rsidRPr="00BC0E5F" w:rsidRDefault="000832A1" w:rsidP="0015298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</w:pPr>
      <w:r w:rsidRPr="005529CF">
        <w:rPr>
          <w:rFonts w:ascii="Bookman Old Style" w:eastAsia="Calibri" w:hAnsi="Bookman Old Style" w:cs="Arial"/>
          <w:i/>
          <w:sz w:val="22"/>
          <w:szCs w:val="22"/>
          <w:lang w:val="es-MX"/>
        </w:rPr>
        <w:t>“Hoy la decisión que estamos tomando es una decisión de un gobierno comprometido con las clases populares, pero responsable. No hay manera de mejorar el transport</w:t>
      </w:r>
      <w:r w:rsidR="00DD5C72" w:rsidRPr="00BC0E5F">
        <w:rPr>
          <w:rFonts w:ascii="Bookman Old Style" w:eastAsia="Calibri" w:hAnsi="Bookman Old Style" w:cs="Arial"/>
          <w:i/>
          <w:sz w:val="22"/>
          <w:szCs w:val="22"/>
          <w:lang w:val="es-MX"/>
        </w:rPr>
        <w:t>e si no se invierte en el”</w:t>
      </w:r>
    </w:p>
    <w:p w14:paraId="550E16AE" w14:textId="77777777" w:rsidR="00152983" w:rsidRPr="00BC0E5F" w:rsidRDefault="00152983" w:rsidP="00152983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Cs/>
          <w:i/>
          <w:sz w:val="22"/>
          <w:szCs w:val="22"/>
          <w:lang w:val="es-MX"/>
        </w:rPr>
      </w:pPr>
    </w:p>
    <w:p w14:paraId="25717110" w14:textId="4EDAA008" w:rsidR="009729D2" w:rsidRPr="00BC0E5F" w:rsidRDefault="00152983" w:rsidP="009729D2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Así mismo el Titular de la Dependencia referida</w:t>
      </w:r>
      <w:r w:rsidR="001A78EF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, </w:t>
      </w: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indicó que </w:t>
      </w:r>
      <w:r w:rsidR="000832A1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en 120 días la Secretaría realizará una </w:t>
      </w:r>
      <w:r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revisión para confirmar </w:t>
      </w:r>
      <w:r w:rsidR="000832A1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el cumplimiento </w:t>
      </w:r>
      <w:r w:rsidR="001A78EF"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o no de los acuerdos signados con los Transportistas. De no efectuarse tales cambios </w:t>
      </w:r>
      <w:r w:rsidR="000832A1" w:rsidRPr="005529CF">
        <w:rPr>
          <w:rFonts w:ascii="Bookman Old Style" w:eastAsia="Calibri" w:hAnsi="Bookman Old Style" w:cs="Arial"/>
          <w:sz w:val="24"/>
          <w:szCs w:val="24"/>
          <w:lang w:val="es-MX"/>
        </w:rPr>
        <w:t>en las unidades del transporte público, se</w:t>
      </w:r>
      <w:r w:rsidR="001A78EF"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 realizará  al retiro de unidades </w:t>
      </w:r>
      <w:r w:rsidR="000832A1" w:rsidRPr="005529CF">
        <w:rPr>
          <w:rFonts w:ascii="Bookman Old Style" w:eastAsia="Calibri" w:hAnsi="Bookman Old Style" w:cs="Arial"/>
          <w:sz w:val="24"/>
          <w:szCs w:val="24"/>
          <w:lang w:val="es-MX"/>
        </w:rPr>
        <w:t>o</w:t>
      </w:r>
      <w:r w:rsidR="001A78EF" w:rsidRPr="00BC0E5F">
        <w:rPr>
          <w:rFonts w:ascii="Bookman Old Style" w:eastAsia="Calibri" w:hAnsi="Bookman Old Style" w:cs="Arial"/>
          <w:sz w:val="24"/>
          <w:szCs w:val="24"/>
          <w:lang w:val="es-MX"/>
        </w:rPr>
        <w:t xml:space="preserve"> en su caso </w:t>
      </w:r>
      <w:r w:rsidR="000832A1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a la revocación de la concesión</w:t>
      </w:r>
      <w:r w:rsidR="001A78EF" w:rsidRPr="00BC0E5F">
        <w:rPr>
          <w:rFonts w:ascii="Bookman Old Style" w:eastAsia="Calibri" w:hAnsi="Bookman Old Style" w:cs="Arial"/>
          <w:sz w:val="24"/>
          <w:szCs w:val="24"/>
          <w:lang w:val="es-MX"/>
        </w:rPr>
        <w:t>.</w:t>
      </w:r>
    </w:p>
    <w:p w14:paraId="297F8220" w14:textId="74B84E6C" w:rsidR="00BC0E5F" w:rsidRPr="009916E0" w:rsidRDefault="009729D2" w:rsidP="009916E0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II.- </w:t>
      </w:r>
      <w:r w:rsidR="00BC0E5F" w:rsidRPr="00BC0E5F"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 xml:space="preserve">Plan Nacional de Desarrollo 2019 – 2024 señala que </w:t>
      </w:r>
      <w:r w:rsidR="009916E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e</w:t>
      </w:r>
      <w:r w:rsidR="009916E0" w:rsidRPr="009916E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l fin último de la </w:t>
      </w:r>
      <w:r w:rsidR="009916E0" w:rsidRPr="009916E0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acción gubernamental</w:t>
      </w:r>
      <w:r w:rsidR="009916E0" w:rsidRPr="009916E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es la </w:t>
      </w:r>
      <w:r w:rsidR="009916E0" w:rsidRPr="009916E0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mejora</w:t>
      </w:r>
      <w:r w:rsidR="009916E0" w:rsidRPr="009916E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continua y sostenida de la </w:t>
      </w:r>
      <w:r w:rsidR="009916E0" w:rsidRPr="009916E0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calidad de vida y el bienestar de toda la población</w:t>
      </w:r>
      <w:r w:rsidR="009916E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, así como 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el papel del Estado es propiciar las </w:t>
      </w:r>
      <w:r w:rsidR="00BC0E5F" w:rsidRPr="00BC0E5F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 xml:space="preserve">condiciones 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que </w:t>
      </w:r>
      <w:r w:rsidR="00BC0E5F" w:rsidRPr="00BC0E5F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 xml:space="preserve">fomenten 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la creación y </w:t>
      </w:r>
      <w:r w:rsidR="00BC0E5F" w:rsidRPr="009916E0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>prosperidad</w:t>
      </w:r>
      <w:r w:rsidR="00BC0E5F" w:rsidRPr="009916E0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 de las </w:t>
      </w:r>
      <w:r w:rsidR="00BC0E5F" w:rsidRPr="009916E0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>empresas</w:t>
      </w:r>
      <w:r w:rsidR="00BC0E5F" w:rsidRPr="009916E0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, la </w:t>
      </w:r>
      <w:r w:rsidR="00BC0E5F" w:rsidRPr="009916E0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>generación de empleos</w:t>
      </w:r>
      <w:r w:rsidR="00BC0E5F" w:rsidRPr="009916E0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, y la </w:t>
      </w:r>
      <w:r w:rsidR="00BC0E5F" w:rsidRPr="009916E0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>inserción laboral</w:t>
      </w:r>
      <w:r w:rsidR="00BC0E5F" w:rsidRPr="009916E0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 en condiciones de igualdad de todas las personas. Así como </w:t>
      </w:r>
      <w:r w:rsidR="00BC0E5F" w:rsidRPr="009916E0">
        <w:rPr>
          <w:rFonts w:ascii="Bookman Old Style" w:eastAsia="Arial" w:hAnsi="Bookman Old Style" w:cs="Arial"/>
          <w:b/>
          <w:bCs/>
          <w:sz w:val="24"/>
          <w:szCs w:val="22"/>
          <w:lang w:val="es-MX" w:eastAsia="es-ES" w:bidi="es-ES"/>
        </w:rPr>
        <w:t>impulsar la reactivación económica</w:t>
      </w:r>
      <w:r w:rsidR="00BC0E5F" w:rsidRPr="009916E0">
        <w:rPr>
          <w:rFonts w:ascii="Bookman Old Style" w:eastAsia="Arial" w:hAnsi="Bookman Old Style" w:cs="Arial"/>
          <w:bCs/>
          <w:sz w:val="24"/>
          <w:szCs w:val="22"/>
          <w:lang w:val="es-MX" w:eastAsia="es-ES" w:bidi="es-ES"/>
        </w:rPr>
        <w:t xml:space="preserve"> y el </w:t>
      </w:r>
      <w:r w:rsidR="00BC0E5F" w:rsidRPr="009916E0">
        <w:rPr>
          <w:rFonts w:ascii="Bookman Old Style" w:eastAsia="Arial" w:hAnsi="Bookman Old Style" w:cs="Arial"/>
          <w:b/>
          <w:bCs/>
          <w:sz w:val="24"/>
          <w:szCs w:val="22"/>
          <w:lang w:val="es-MX" w:eastAsia="es-ES" w:bidi="es-ES"/>
        </w:rPr>
        <w:t>fortalecimiento del mercado interno.</w:t>
      </w:r>
      <w:r w:rsidR="00BC0E5F" w:rsidRPr="009916E0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 xml:space="preserve"> </w:t>
      </w:r>
    </w:p>
    <w:p w14:paraId="7C1B1D79" w14:textId="77777777" w:rsidR="00E24250" w:rsidRDefault="001369F8" w:rsidP="00E24250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  <w:r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En su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</w:t>
      </w:r>
      <w:r w:rsidR="00BC0E5F" w:rsidRPr="001369F8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eje general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</w:t>
      </w:r>
      <w:r w:rsidR="00BC0E5F" w:rsidRPr="00BC0E5F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“Desarrollo Económico”</w:t>
      </w:r>
      <w:r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tiene como objetivo: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 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Incrementar la productividad y promover un uso eficiente y responsable de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 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los recursos para contribuir a un </w:t>
      </w:r>
      <w:r w:rsidR="00BC0E5F" w:rsidRPr="00BC0E5F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crecimiento económico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equilibrado </w:t>
      </w:r>
      <w:r w:rsidR="00BC0E5F" w:rsidRPr="00BC0E5F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que</w:t>
      </w:r>
      <w:r w:rsidR="00BC0E5F" w:rsidRPr="00BC0E5F">
        <w:rPr>
          <w:rFonts w:ascii="Bookman Old Style" w:eastAsia="Arial" w:hAnsi="Bookman Old Style" w:cs="Arial"/>
          <w:b/>
          <w:sz w:val="24"/>
          <w:szCs w:val="22"/>
          <w:lang w:val="es-ES" w:eastAsia="es-ES" w:bidi="es-ES"/>
        </w:rPr>
        <w:t xml:space="preserve"> </w:t>
      </w:r>
      <w:r w:rsidR="00BC0E5F" w:rsidRPr="00BC0E5F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garantice un desarrollo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igualitario e incluyente a lo largo de</w:t>
      </w:r>
      <w:r w:rsidR="00BC0E5F" w:rsidRPr="00BC0E5F">
        <w:rPr>
          <w:rFonts w:ascii="Bookman Old Style" w:eastAsia="Arial" w:hAnsi="Bookman Old Style" w:cs="Arial"/>
          <w:sz w:val="24"/>
          <w:szCs w:val="22"/>
          <w:lang w:val="es-ES" w:eastAsia="es-ES" w:bidi="es-ES"/>
        </w:rPr>
        <w:t xml:space="preserve"> </w:t>
      </w:r>
      <w:r w:rsidR="00BC0E5F" w:rsidRPr="00BC0E5F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todo el país</w:t>
      </w:r>
      <w:r w:rsidR="00E24250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.</w:t>
      </w:r>
    </w:p>
    <w:p w14:paraId="1DB832DB" w14:textId="6A4912A9" w:rsidR="009916E0" w:rsidRPr="0004140B" w:rsidRDefault="00E24250" w:rsidP="0004140B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  <w:r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En el PED se plasma lo referente a la </w:t>
      </w:r>
      <w:r w:rsidR="009916E0" w:rsidRPr="009916E0">
        <w:rPr>
          <w:rFonts w:ascii="Bookman Old Style" w:hAnsi="Bookman Old Style" w:cs="Arial"/>
          <w:b/>
          <w:bCs/>
          <w:color w:val="000000"/>
          <w:sz w:val="24"/>
          <w:szCs w:val="24"/>
          <w:lang w:val="es-MX" w:eastAsia="es-MX"/>
        </w:rPr>
        <w:t>Consulta ciudadana por internet</w:t>
      </w:r>
      <w:r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 xml:space="preserve"> </w:t>
      </w:r>
      <w:r w:rsidR="009916E0" w:rsidRPr="00E24250">
        <w:rPr>
          <w:rFonts w:ascii="Bookman Old Style" w:hAnsi="Bookman Old Style" w:cs="Arial"/>
          <w:b/>
          <w:bCs/>
          <w:i/>
          <w:color w:val="000000"/>
          <w:sz w:val="24"/>
          <w:szCs w:val="24"/>
          <w:lang w:val="es-MX" w:eastAsia="es-MX"/>
        </w:rPr>
        <w:t>“Planeando juntas y planeando</w:t>
      </w:r>
      <w:r w:rsidRPr="00E24250">
        <w:rPr>
          <w:rFonts w:ascii="Bookman Old Style" w:hAnsi="Bookman Old Style" w:cs="Arial"/>
          <w:b/>
          <w:bCs/>
          <w:i/>
          <w:color w:val="000000"/>
          <w:sz w:val="24"/>
          <w:szCs w:val="24"/>
          <w:lang w:val="es-MX" w:eastAsia="es-MX"/>
        </w:rPr>
        <w:t xml:space="preserve"> </w:t>
      </w:r>
      <w:r w:rsidR="009916E0" w:rsidRPr="00E24250">
        <w:rPr>
          <w:rFonts w:ascii="Bookman Old Style" w:hAnsi="Bookman Old Style" w:cs="Arial"/>
          <w:b/>
          <w:bCs/>
          <w:i/>
          <w:color w:val="000000"/>
          <w:sz w:val="24"/>
          <w:szCs w:val="24"/>
          <w:lang w:val="es-MX" w:eastAsia="es-MX"/>
        </w:rPr>
        <w:t>juntos”</w:t>
      </w:r>
      <w:r w:rsidR="00FB24BE">
        <w:rPr>
          <w:rFonts w:ascii="Bookman Old Style" w:hAnsi="Bookman Old Style" w:cs="Arial"/>
          <w:b/>
          <w:bCs/>
          <w:i/>
          <w:color w:val="000000"/>
          <w:sz w:val="24"/>
          <w:szCs w:val="24"/>
          <w:lang w:val="es-MX" w:eastAsia="es-MX"/>
        </w:rPr>
        <w:t xml:space="preserve">, </w:t>
      </w:r>
      <w:r w:rsidR="00FB24BE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dentro de las preguntas planteadas s</w:t>
      </w:r>
      <w:r w:rsidR="0004140B"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t>e encuentra</w:t>
      </w:r>
    </w:p>
    <w:p w14:paraId="3E83CB5C" w14:textId="3C7E49B3" w:rsidR="009916E0" w:rsidRDefault="0004140B" w:rsidP="0004140B">
      <w:pPr>
        <w:widowControl w:val="0"/>
        <w:autoSpaceDE w:val="0"/>
        <w:autoSpaceDN w:val="0"/>
        <w:spacing w:before="198" w:line="276" w:lineRule="auto"/>
        <w:ind w:left="-142" w:right="117"/>
        <w:jc w:val="center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3DE2700" wp14:editId="64C2B4B6">
            <wp:extent cx="2968388" cy="1924104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388" cy="192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EE0E" w14:textId="77777777" w:rsidR="0004140B" w:rsidRDefault="0004140B" w:rsidP="00071DCC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</w:pPr>
      <w:r>
        <w:rPr>
          <w:rFonts w:ascii="Bookman Old Style" w:hAnsi="Bookman Old Style" w:cs="Arial"/>
          <w:bCs/>
          <w:color w:val="000000"/>
          <w:sz w:val="24"/>
          <w:szCs w:val="24"/>
          <w:lang w:val="es-MX" w:eastAsia="es-MX"/>
        </w:rPr>
        <w:lastRenderedPageBreak/>
        <w:t>En donde la opción de Transporte Público fue la de mayor porcentaje en personas de 30 y menos años, y la segunda en aquellas de 31 a 64 y de 64 y más años.</w:t>
      </w:r>
    </w:p>
    <w:p w14:paraId="5286CF16" w14:textId="16D90CCA" w:rsidR="004E3ED5" w:rsidRDefault="0004140B" w:rsidP="004E3ED5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/>
          <w:sz w:val="24"/>
          <w:szCs w:val="24"/>
          <w:lang w:val="es-MX" w:bidi="es-ES"/>
        </w:rPr>
        <w:t xml:space="preserve">III.- </w:t>
      </w:r>
      <w:r w:rsidR="004E3ED5">
        <w:rPr>
          <w:rFonts w:ascii="Bookman Old Style" w:eastAsia="Calibri" w:hAnsi="Bookman Old Style" w:cs="Arial"/>
          <w:sz w:val="24"/>
          <w:szCs w:val="24"/>
          <w:lang w:val="es-MX" w:bidi="es-ES"/>
        </w:rPr>
        <w:t xml:space="preserve">De acuerdo al </w:t>
      </w:r>
      <w:r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INEGI </w:t>
      </w:r>
      <w:r w:rsidRPr="005529CF">
        <w:rPr>
          <w:rFonts w:ascii="Bookman Old Style" w:eastAsia="Calibri" w:hAnsi="Bookman Old Style" w:cs="Arial"/>
          <w:sz w:val="24"/>
          <w:szCs w:val="24"/>
          <w:lang w:val="es-MX"/>
        </w:rPr>
        <w:t>los resultados d</w:t>
      </w:r>
      <w:r w:rsid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el Producto Interno Bruto </w:t>
      </w:r>
      <w:r w:rsidR="004E3ED5" w:rsidRPr="004E3ED5">
        <w:rPr>
          <w:rFonts w:ascii="Bookman Old Style" w:eastAsia="Calibri" w:hAnsi="Bookman Old Style" w:cs="Arial"/>
          <w:b/>
          <w:sz w:val="24"/>
          <w:szCs w:val="24"/>
          <w:lang w:val="es-MX"/>
        </w:rPr>
        <w:t>(PIB)</w:t>
      </w:r>
      <w:r w:rsid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 de </w:t>
      </w:r>
      <w:r w:rsidR="004E3ED5" w:rsidRPr="00DF5554">
        <w:rPr>
          <w:rFonts w:ascii="Bookman Old Style" w:eastAsia="Calibri" w:hAnsi="Bookman Old Style" w:cs="Arial"/>
          <w:b/>
          <w:sz w:val="24"/>
          <w:szCs w:val="24"/>
          <w:lang w:val="es-MX"/>
        </w:rPr>
        <w:t>México</w:t>
      </w:r>
      <w:r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4E3ED5" w:rsidRPr="004E3ED5">
        <w:rPr>
          <w:rFonts w:ascii="Bookman Old Style" w:eastAsia="Calibri" w:hAnsi="Bookman Old Style" w:cs="Arial"/>
          <w:sz w:val="24"/>
          <w:szCs w:val="24"/>
          <w:lang w:val="es-MX"/>
        </w:rPr>
        <w:t>durante el segundo trimestre de 2019 respecto al precedente</w:t>
      </w:r>
      <w:r w:rsid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, </w:t>
      </w:r>
      <w:r w:rsidRPr="005529CF">
        <w:rPr>
          <w:rFonts w:ascii="Bookman Old Style" w:eastAsia="Calibri" w:hAnsi="Bookman Old Style" w:cs="Arial"/>
          <w:sz w:val="24"/>
          <w:szCs w:val="24"/>
          <w:lang w:val="es-MX"/>
        </w:rPr>
        <w:t>indican que éste no registró variación en términos reales</w:t>
      </w:r>
      <w:r w:rsid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, es decir un crecimiento del </w:t>
      </w:r>
      <w:r w:rsidR="004E3ED5" w:rsidRPr="004E3ED5">
        <w:rPr>
          <w:rFonts w:ascii="Bookman Old Style" w:eastAsia="Calibri" w:hAnsi="Bookman Old Style" w:cs="Arial"/>
          <w:b/>
          <w:sz w:val="24"/>
          <w:szCs w:val="24"/>
          <w:lang w:val="es-MX"/>
        </w:rPr>
        <w:t>0 %</w:t>
      </w:r>
    </w:p>
    <w:p w14:paraId="3EB79323" w14:textId="77777777" w:rsidR="00BC602D" w:rsidRDefault="004E3ED5" w:rsidP="00BC602D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 w:rsidRPr="004E3ED5">
        <w:rPr>
          <w:rFonts w:ascii="Bookman Old Style" w:eastAsia="Calibri" w:hAnsi="Bookman Old Style" w:cs="Arial"/>
          <w:sz w:val="24"/>
          <w:szCs w:val="24"/>
          <w:lang w:val="es-MX"/>
        </w:rPr>
        <w:t>A principios de este año,</w:t>
      </w:r>
      <w:r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</w:t>
      </w:r>
      <w:r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BBVA </w:t>
      </w:r>
      <w:r w:rsidRPr="004E3ED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Research </w:t>
      </w:r>
      <w:r w:rsidRPr="004E3ED5">
        <w:rPr>
          <w:rFonts w:ascii="Bookman Old Style" w:eastAsia="Calibri" w:hAnsi="Bookman Old Style" w:cs="Arial"/>
          <w:sz w:val="24"/>
          <w:szCs w:val="24"/>
          <w:lang w:val="es-MX"/>
        </w:rPr>
        <w:t>estimó que el </w:t>
      </w:r>
      <w:r w:rsidRPr="004E3ED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Producto Interno Bruto (PIB) de Puebla</w:t>
      </w:r>
      <w:r>
        <w:rPr>
          <w:rFonts w:ascii="Bookman Old Style" w:eastAsia="Calibri" w:hAnsi="Bookman Old Style" w:cs="Arial"/>
          <w:sz w:val="24"/>
          <w:szCs w:val="24"/>
          <w:lang w:val="es-MX"/>
        </w:rPr>
        <w:t> tendría</w:t>
      </w:r>
      <w:r w:rsidRP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 un </w:t>
      </w:r>
      <w:r w:rsidRPr="004E3ED5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crecimiento de 4.2%</w:t>
      </w:r>
      <w:r w:rsidRPr="004E3ED5">
        <w:rPr>
          <w:rFonts w:ascii="Bookman Old Style" w:eastAsia="Calibri" w:hAnsi="Bookman Old Style" w:cs="Arial"/>
          <w:sz w:val="24"/>
          <w:szCs w:val="24"/>
          <w:lang w:val="es-MX"/>
        </w:rPr>
        <w:t xml:space="preserve"> para </w:t>
      </w:r>
      <w:r w:rsidRPr="004E3ED5">
        <w:rPr>
          <w:rFonts w:ascii="Bookman Old Style" w:eastAsia="Calibri" w:hAnsi="Bookman Old Style" w:cs="Arial"/>
          <w:b/>
          <w:sz w:val="24"/>
          <w:szCs w:val="24"/>
          <w:lang w:val="es-MX"/>
        </w:rPr>
        <w:t>2019</w:t>
      </w:r>
      <w:r w:rsidR="00DF5554">
        <w:rPr>
          <w:rFonts w:ascii="Bookman Old Style" w:eastAsia="Calibri" w:hAnsi="Bookman Old Style" w:cs="Arial"/>
          <w:sz w:val="24"/>
          <w:szCs w:val="24"/>
          <w:lang w:val="es-MX"/>
        </w:rPr>
        <w:t>.</w:t>
      </w:r>
    </w:p>
    <w:p w14:paraId="66F7CC6A" w14:textId="60E41DE7" w:rsidR="0004140B" w:rsidRPr="005529CF" w:rsidRDefault="00DF5554" w:rsidP="00BC602D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>De acuerdo a c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ifras </w:t>
      </w:r>
      <w:r>
        <w:rPr>
          <w:rFonts w:ascii="Bookman Old Style" w:eastAsia="Calibri" w:hAnsi="Bookman Old Style" w:cs="Arial"/>
          <w:sz w:val="24"/>
          <w:szCs w:val="24"/>
          <w:lang w:val="es-MX"/>
        </w:rPr>
        <w:t xml:space="preserve">del INEGI, 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>durante el primer trimestre de 2019</w:t>
      </w:r>
      <w:r w:rsidR="00BC602D">
        <w:rPr>
          <w:rFonts w:ascii="Bookman Old Style" w:eastAsia="Calibri" w:hAnsi="Bookman Old Style" w:cs="Arial"/>
          <w:sz w:val="24"/>
          <w:szCs w:val="24"/>
          <w:lang w:val="es-MX"/>
        </w:rPr>
        <w:t xml:space="preserve"> el 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Indicador Trimestral de la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Actividad Económica Estatal</w:t>
      </w:r>
      <w:r w:rsidR="00BC602D">
        <w:rPr>
          <w:rFonts w:ascii="Bookman Old Style" w:eastAsia="Calibri" w:hAnsi="Bookman Old Style" w:cs="Arial"/>
          <w:sz w:val="24"/>
          <w:szCs w:val="24"/>
          <w:lang w:val="es-MX"/>
        </w:rPr>
        <w:t xml:space="preserve"> tuvo </w:t>
      </w:r>
      <w:r w:rsidR="00BC602D" w:rsidRPr="00BC602D">
        <w:rPr>
          <w:rFonts w:ascii="Bookman Old Style" w:eastAsia="Calibri" w:hAnsi="Bookman Old Style" w:cs="Arial"/>
          <w:b/>
          <w:sz w:val="24"/>
          <w:szCs w:val="24"/>
          <w:lang w:val="es-MX"/>
        </w:rPr>
        <w:t>0.9</w:t>
      </w:r>
      <w:r w:rsidR="00BC602D">
        <w:rPr>
          <w:rFonts w:ascii="Bookman Old Style" w:eastAsia="Calibri" w:hAnsi="Bookman Old Style" w:cs="Arial"/>
          <w:sz w:val="24"/>
          <w:szCs w:val="24"/>
          <w:lang w:val="es-MX"/>
        </w:rPr>
        <w:t xml:space="preserve"> </w:t>
      </w:r>
      <w:r w:rsidR="0004140B" w:rsidRPr="005529CF">
        <w:rPr>
          <w:rFonts w:ascii="Bookman Old Style" w:eastAsia="Calibri" w:hAnsi="Bookman Old Style" w:cs="Arial"/>
          <w:bCs/>
          <w:sz w:val="24"/>
          <w:szCs w:val="24"/>
          <w:lang w:val="es-MX"/>
        </w:rPr>
        <w:t>Variación % respecto al trimestre previo</w:t>
      </w:r>
      <w:r w:rsidR="00BC602D">
        <w:rPr>
          <w:rFonts w:ascii="Bookman Old Style" w:eastAsia="Calibri" w:hAnsi="Bookman Old Style" w:cs="Arial"/>
          <w:bCs/>
          <w:sz w:val="24"/>
          <w:szCs w:val="24"/>
          <w:lang w:val="es-MX"/>
        </w:rPr>
        <w:t>.</w:t>
      </w:r>
    </w:p>
    <w:p w14:paraId="0741CD7F" w14:textId="25A374FC" w:rsidR="00110BD0" w:rsidRDefault="00110BD0" w:rsidP="00110BD0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El mismo </w:t>
      </w:r>
      <w:r w:rsidR="004E26A1">
        <w:rPr>
          <w:rFonts w:ascii="Bookman Old Style" w:eastAsia="Calibri" w:hAnsi="Bookman Old Style" w:cs="Arial"/>
          <w:bCs/>
          <w:sz w:val="24"/>
          <w:szCs w:val="24"/>
          <w:lang w:val="es-MX"/>
        </w:rPr>
        <w:t>INEGI,</w:t>
      </w:r>
      <w:r w:rsidR="004E26A1" w:rsidRPr="00DF5554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4E26A1">
        <w:rPr>
          <w:rFonts w:ascii="Bookman Old Style" w:eastAsia="Calibri" w:hAnsi="Bookman Old Style" w:cs="Arial"/>
          <w:bCs/>
          <w:sz w:val="24"/>
          <w:szCs w:val="24"/>
          <w:lang w:val="es-MX"/>
        </w:rPr>
        <w:t>en el mes de julio del presente</w:t>
      </w: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señaló que</w:t>
      </w:r>
      <w:r w:rsidR="004E26A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  <w:r w:rsidR="004E26A1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las ventas en el sector come</w:t>
      </w:r>
      <w:r w:rsidR="007132AA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rcio mayorista y menudista del E</w:t>
      </w:r>
      <w:r w:rsidR="004E26A1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stado de Puebla, cayeron 5.9 y 4.6</w:t>
      </w:r>
      <w:r w:rsidR="004E26A1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%</w:t>
      </w:r>
      <w:r w:rsidR="004E26A1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, respectivamente, mientras que los salarios también cayeron 2.4 y 0.2 </w:t>
      </w:r>
      <w:r w:rsidR="004E26A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% </w:t>
      </w:r>
      <w:r w:rsidR="004E26A1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en cada uno de los rubros</w:t>
      </w:r>
      <w:r w:rsidR="004E26A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citados</w:t>
      </w:r>
      <w:r w:rsidR="004E26A1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.</w:t>
      </w:r>
    </w:p>
    <w:p w14:paraId="6675A238" w14:textId="4180B391" w:rsidR="00486D81" w:rsidRDefault="00DF5554" w:rsidP="00486D81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 xml:space="preserve">Por otra lado, </w:t>
      </w:r>
      <w:r w:rsidR="00110BD0">
        <w:rPr>
          <w:rFonts w:ascii="Bookman Old Style" w:eastAsia="Calibri" w:hAnsi="Bookman Old Style" w:cs="Arial"/>
          <w:sz w:val="24"/>
          <w:szCs w:val="24"/>
          <w:lang w:val="es-MX"/>
        </w:rPr>
        <w:t>e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n julio de este año, la entidad poblana reportó una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Tasa de Desocupación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(TD) de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2.9</w:t>
      </w:r>
      <w:r w:rsidR="00110BD0" w:rsidRPr="00110BD0">
        <w:rPr>
          <w:rFonts w:ascii="Bookman Old Style" w:eastAsia="Calibri" w:hAnsi="Bookman Old Style" w:cs="Arial"/>
          <w:b/>
          <w:sz w:val="24"/>
          <w:szCs w:val="24"/>
          <w:lang w:val="es-MX"/>
        </w:rPr>
        <w:t>%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mayor a la registrada en el mes previo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cuando se ubicó en 2.7</w:t>
      </w:r>
      <w:r w:rsidR="00110BD0">
        <w:rPr>
          <w:rFonts w:ascii="Bookman Old Style" w:eastAsia="Calibri" w:hAnsi="Bookman Old Style" w:cs="Arial"/>
          <w:sz w:val="24"/>
          <w:szCs w:val="24"/>
          <w:lang w:val="es-MX"/>
        </w:rPr>
        <w:t xml:space="preserve"> %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>, informó el Instituto Nacional de Estadística y Geografía (</w:t>
      </w:r>
      <w:r w:rsidR="007132AA">
        <w:rPr>
          <w:rFonts w:ascii="Bookman Old Style" w:eastAsia="Calibri" w:hAnsi="Bookman Old Style" w:cs="Arial"/>
          <w:sz w:val="24"/>
          <w:szCs w:val="24"/>
          <w:lang w:val="es-MX"/>
        </w:rPr>
        <w:t>INEGI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). </w:t>
      </w:r>
      <w:r w:rsidR="00110BD0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Es decir, 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con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83 mil 668 personas sin trabajo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, </w:t>
      </w:r>
      <w:r w:rsidR="00486D81">
        <w:rPr>
          <w:rFonts w:ascii="Bookman Old Style" w:eastAsia="Calibri" w:hAnsi="Bookman Old Style" w:cs="Arial"/>
          <w:sz w:val="24"/>
          <w:szCs w:val="24"/>
          <w:lang w:val="es-MX"/>
        </w:rPr>
        <w:t xml:space="preserve">comparado con los 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77 mil 845 desocupados que había en junio de este mismo año, </w:t>
      </w:r>
      <w:r w:rsidR="00486D81">
        <w:rPr>
          <w:rFonts w:ascii="Bookman Old Style" w:eastAsia="Calibri" w:hAnsi="Bookman Old Style" w:cs="Arial"/>
          <w:sz w:val="24"/>
          <w:szCs w:val="24"/>
          <w:lang w:val="es-MX"/>
        </w:rPr>
        <w:t xml:space="preserve">en otras palabras, </w:t>
      </w:r>
      <w:r w:rsidR="00486D81" w:rsidRPr="00486D81">
        <w:rPr>
          <w:rFonts w:ascii="Bookman Old Style" w:eastAsia="Calibri" w:hAnsi="Bookman Old Style" w:cs="Arial"/>
          <w:b/>
          <w:sz w:val="24"/>
          <w:szCs w:val="24"/>
          <w:lang w:val="es-MX"/>
        </w:rPr>
        <w:t>5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mil 823 poblanos </w:t>
      </w:r>
      <w:r w:rsidR="00486D81" w:rsidRPr="00486D81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se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quedaron </w:t>
      </w:r>
      <w:r w:rsidR="007132AA">
        <w:rPr>
          <w:rFonts w:ascii="Bookman Old Style" w:eastAsia="Calibri" w:hAnsi="Bookman Old Style" w:cs="Arial"/>
          <w:b/>
          <w:sz w:val="24"/>
          <w:szCs w:val="24"/>
          <w:lang w:val="es-MX"/>
        </w:rPr>
        <w:t>sin</w:t>
      </w:r>
      <w:r w:rsidR="00071DCC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 trabajo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 xml:space="preserve">en un mes. </w:t>
      </w:r>
    </w:p>
    <w:p w14:paraId="492B933E" w14:textId="7D5A0CBC" w:rsidR="0004140B" w:rsidRDefault="00DF5554" w:rsidP="005E0CD2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>Aunado a lo anterior</w:t>
      </w:r>
      <w:r w:rsidR="005E0CD2">
        <w:rPr>
          <w:rFonts w:ascii="Bookman Old Style" w:eastAsia="Calibri" w:hAnsi="Bookman Old Style" w:cs="Arial"/>
          <w:sz w:val="24"/>
          <w:szCs w:val="24"/>
          <w:lang w:val="es-MX"/>
        </w:rPr>
        <w:t xml:space="preserve">, el </w:t>
      </w:r>
      <w:r w:rsidR="005E0CD2" w:rsidRPr="005E0CD2">
        <w:rPr>
          <w:rFonts w:ascii="Bookman Old Style" w:eastAsia="Calibri" w:hAnsi="Bookman Old Style" w:cs="Arial"/>
          <w:sz w:val="24"/>
          <w:szCs w:val="24"/>
          <w:lang w:val="es-MX"/>
        </w:rPr>
        <w:t>Secretariado Ejecutivo del Sistema Nacional de Seguridad Pública</w:t>
      </w:r>
      <w:r w:rsidR="005E0CD2">
        <w:rPr>
          <w:rFonts w:ascii="Bookman Old Style" w:eastAsia="Calibri" w:hAnsi="Bookman Old Style" w:cs="Arial"/>
          <w:sz w:val="24"/>
          <w:szCs w:val="24"/>
          <w:lang w:val="es-MX"/>
        </w:rPr>
        <w:t xml:space="preserve"> reportó </w:t>
      </w:r>
      <w:r w:rsidR="00486D81">
        <w:rPr>
          <w:rFonts w:ascii="Bookman Old Style" w:eastAsia="Calibri" w:hAnsi="Bookman Old Style" w:cs="Arial"/>
          <w:sz w:val="24"/>
          <w:szCs w:val="24"/>
          <w:lang w:val="es-MX"/>
        </w:rPr>
        <w:t>en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el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primer semestre de 2019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, en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Puebla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los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robos en el transporte público colectivo aumentaron 127%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en relación con el mismo lapso del año pasado, y con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241 hechos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se ubicó en </w:t>
      </w:r>
      <w:r w:rsidR="0004140B" w:rsidRPr="005529CF">
        <w:rPr>
          <w:rFonts w:ascii="Bookman Old Style" w:eastAsia="Calibri" w:hAnsi="Bookman Old Style" w:cs="Arial"/>
          <w:b/>
          <w:sz w:val="24"/>
          <w:szCs w:val="24"/>
          <w:lang w:val="es-MX"/>
        </w:rPr>
        <w:t>tercer lugar nacional</w:t>
      </w:r>
      <w:r w:rsidR="0004140B" w:rsidRPr="005529CF">
        <w:rPr>
          <w:rFonts w:ascii="Bookman Old Style" w:eastAsia="Calibri" w:hAnsi="Bookman Old Style" w:cs="Arial"/>
          <w:sz w:val="24"/>
          <w:szCs w:val="24"/>
          <w:lang w:val="es-MX"/>
        </w:rPr>
        <w:t xml:space="preserve"> por debajo del Estado de México y la Ciudad de México.</w:t>
      </w:r>
    </w:p>
    <w:p w14:paraId="0BA7369F" w14:textId="77777777" w:rsidR="00922D11" w:rsidRDefault="0061068A" w:rsidP="00922D11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sz w:val="24"/>
          <w:szCs w:val="24"/>
          <w:lang w:val="es-MX"/>
        </w:rPr>
        <w:t>Con cifras actualizadas</w:t>
      </w:r>
      <w:r w:rsidR="005E0CD2">
        <w:rPr>
          <w:rFonts w:ascii="Bookman Old Style" w:eastAsia="Calibri" w:hAnsi="Bookman Old Style" w:cs="Arial"/>
          <w:sz w:val="24"/>
          <w:szCs w:val="24"/>
          <w:lang w:val="es-MX"/>
        </w:rPr>
        <w:t xml:space="preserve"> del mismo secretariado al mes de Agosto se tiene registro de </w:t>
      </w:r>
      <w:r w:rsidRPr="0061068A">
        <w:rPr>
          <w:rFonts w:ascii="Bookman Old Style" w:eastAsia="Calibri" w:hAnsi="Bookman Old Style" w:cs="Arial"/>
          <w:b/>
          <w:sz w:val="24"/>
          <w:szCs w:val="24"/>
          <w:lang w:val="es-MX"/>
        </w:rPr>
        <w:t>329 robos en el transporte público colectivo</w:t>
      </w:r>
      <w:r>
        <w:rPr>
          <w:rFonts w:ascii="Bookman Old Style" w:eastAsia="Calibri" w:hAnsi="Bookman Old Style" w:cs="Arial"/>
          <w:b/>
          <w:sz w:val="24"/>
          <w:szCs w:val="24"/>
          <w:lang w:val="es-MX"/>
        </w:rPr>
        <w:t>.</w:t>
      </w:r>
    </w:p>
    <w:p w14:paraId="454A7551" w14:textId="77777777" w:rsidR="00922D11" w:rsidRDefault="00922D11" w:rsidP="00922D11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54837F03" w14:textId="77777777" w:rsidR="00922D11" w:rsidRDefault="00922D11" w:rsidP="00922D11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167C5C34" w14:textId="36885CFC" w:rsidR="00334778" w:rsidRPr="00EE2908" w:rsidRDefault="00ED3D5D" w:rsidP="007132AA">
      <w:pPr>
        <w:widowControl w:val="0"/>
        <w:autoSpaceDE w:val="0"/>
        <w:autoSpaceDN w:val="0"/>
        <w:spacing w:before="198" w:line="276" w:lineRule="auto"/>
        <w:ind w:left="-142" w:right="117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lastRenderedPageBreak/>
        <w:t xml:space="preserve">Por lo anterior referido </w:t>
      </w:r>
      <w:r w:rsidR="007A26B7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y </w:t>
      </w:r>
      <w:r w:rsidR="007E6B79" w:rsidRPr="00EE2908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ante</w:t>
      </w:r>
      <w:r w:rsidR="007E6B79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la </w:t>
      </w:r>
      <w:r w:rsidR="007E6B79" w:rsidRPr="00EE2908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situación económica,</w:t>
      </w:r>
      <w:r w:rsidR="007132AA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social,</w:t>
      </w:r>
      <w:r w:rsidR="007E6B79" w:rsidRPr="00EE2908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laboral y de seguridad actual </w:t>
      </w:r>
      <w:r w:rsidR="00EE2908" w:rsidRPr="00EE2908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en la entidad</w:t>
      </w:r>
      <w:r w:rsidR="007A26B7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 w:rsidR="007A26B7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 </w:t>
      </w:r>
      <w:r w:rsidR="00334778" w:rsidRPr="00BC0E5F">
        <w:rPr>
          <w:rFonts w:ascii="Bookman Old Style" w:eastAsia="Calibri" w:hAnsi="Bookman Old Style" w:cs="Arial"/>
          <w:sz w:val="24"/>
          <w:szCs w:val="24"/>
          <w:lang w:val="es-MX"/>
        </w:rPr>
        <w:t>someto a consideración de esta soberanía el siguiente:</w:t>
      </w:r>
    </w:p>
    <w:p w14:paraId="3BE9F010" w14:textId="77777777" w:rsidR="009E64B5" w:rsidRPr="00BC0E5F" w:rsidRDefault="009E64B5" w:rsidP="009E64B5">
      <w:pPr>
        <w:autoSpaceDE w:val="0"/>
        <w:autoSpaceDN w:val="0"/>
        <w:adjustRightInd w:val="0"/>
        <w:spacing w:line="276" w:lineRule="auto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18AB5FFF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PUNTO DE ACUERDO</w:t>
      </w:r>
    </w:p>
    <w:p w14:paraId="018E6660" w14:textId="77777777" w:rsidR="00334778" w:rsidRPr="00BC0E5F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sz w:val="24"/>
          <w:szCs w:val="24"/>
          <w:lang w:val="es-MX"/>
        </w:rPr>
      </w:pPr>
    </w:p>
    <w:p w14:paraId="6D000816" w14:textId="77777777" w:rsidR="00165B4C" w:rsidRDefault="000C221A" w:rsidP="000C221A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>PRIMERO</w:t>
      </w:r>
      <w:r w:rsidR="00334778" w:rsidRPr="00BC0E5F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.- </w:t>
      </w:r>
      <w:r w:rsidR="00165B4C">
        <w:rPr>
          <w:rFonts w:ascii="Bookman Old Style" w:eastAsia="Calibri" w:hAnsi="Bookman Old Style" w:cs="Arial"/>
          <w:bCs/>
          <w:sz w:val="24"/>
          <w:szCs w:val="24"/>
          <w:lang w:val="es-MX"/>
        </w:rPr>
        <w:t>Se exhorta</w:t>
      </w:r>
      <w:r w:rsidR="00334778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de la ma</w:t>
      </w:r>
      <w:r w:rsidR="00067C32" w:rsidRPr="00BC0E5F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nera más atenta y respetuosa al </w:t>
      </w:r>
      <w:r w:rsidR="00165B4C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Titular del Poder Ejecutivo en el Estado de Puebla a dejar sin efectos </w:t>
      </w:r>
      <w:r w:rsidRPr="000C221A">
        <w:rPr>
          <w:rFonts w:ascii="Bookman Old Style" w:eastAsia="Calibri" w:hAnsi="Bookman Old Style" w:cs="Arial"/>
          <w:bCs/>
          <w:sz w:val="24"/>
          <w:szCs w:val="24"/>
          <w:lang w:val="es-MX"/>
        </w:rPr>
        <w:t>el alza a la tar</w:t>
      </w:r>
      <w:r w:rsidR="00165B4C">
        <w:rPr>
          <w:rFonts w:ascii="Bookman Old Style" w:eastAsia="Calibri" w:hAnsi="Bookman Old Style" w:cs="Arial"/>
          <w:bCs/>
          <w:sz w:val="24"/>
          <w:szCs w:val="24"/>
          <w:lang w:val="es-MX"/>
        </w:rPr>
        <w:t>ifa del transporte anunciada el día 07 de octubre de 2019</w:t>
      </w:r>
      <w:r w:rsidRPr="000C221A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. </w:t>
      </w:r>
    </w:p>
    <w:p w14:paraId="354D619B" w14:textId="626134AF" w:rsidR="00165B4C" w:rsidRDefault="00165B4C" w:rsidP="000C221A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</w:t>
      </w:r>
    </w:p>
    <w:p w14:paraId="07AD8521" w14:textId="5819A393" w:rsidR="00F53B11" w:rsidRPr="00F53B11" w:rsidRDefault="00165B4C" w:rsidP="000C221A">
      <w:pPr>
        <w:spacing w:line="276" w:lineRule="auto"/>
        <w:jc w:val="both"/>
        <w:rPr>
          <w:rFonts w:ascii="Bookman Old Style" w:eastAsia="Calibri" w:hAnsi="Bookman Old Style" w:cs="Arial"/>
          <w:bCs/>
          <w:sz w:val="24"/>
          <w:szCs w:val="24"/>
          <w:lang w:val="es-MX"/>
        </w:rPr>
      </w:pPr>
      <w:r w:rsidRPr="00165B4C"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  <w:t xml:space="preserve">SEGUNDO.- </w:t>
      </w:r>
      <w:r w:rsidRPr="00165B4C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En el caso de que el aumento </w:t>
      </w: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>a la tarifa del transporte sea efectivo</w:t>
      </w:r>
      <w:r w:rsidR="00F53B11">
        <w:rPr>
          <w:rFonts w:ascii="Bookman Old Style" w:eastAsia="Calibri" w:hAnsi="Bookman Old Style" w:cs="Arial"/>
          <w:bCs/>
          <w:sz w:val="24"/>
          <w:szCs w:val="24"/>
          <w:lang w:val="es-MX"/>
        </w:rPr>
        <w:t>,</w:t>
      </w: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se solicita</w:t>
      </w:r>
      <w:r w:rsidR="00F53B1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 que previo a ello se realicen las mejoras de </w:t>
      </w:r>
      <w:r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las unidades, el servicio y la seguridad </w:t>
      </w:r>
      <w:r w:rsidR="00F53B1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por parte de </w:t>
      </w:r>
      <w:r w:rsidR="00F53B11" w:rsidRPr="00F53B11">
        <w:rPr>
          <w:rFonts w:ascii="Bookman Old Style" w:eastAsia="Calibri" w:hAnsi="Bookman Old Style" w:cs="Arial"/>
          <w:bCs/>
          <w:sz w:val="24"/>
          <w:szCs w:val="24"/>
          <w:lang w:val="es-MX"/>
        </w:rPr>
        <w:t xml:space="preserve">los concesionarios </w:t>
      </w:r>
      <w:r w:rsidR="00F53B11">
        <w:rPr>
          <w:rFonts w:ascii="Bookman Old Style" w:eastAsia="Calibri" w:hAnsi="Bookman Old Style" w:cs="Arial"/>
          <w:bCs/>
          <w:sz w:val="24"/>
          <w:szCs w:val="24"/>
          <w:lang w:val="es-MX"/>
        </w:rPr>
        <w:t>y posteriormente se efectúe tal incremento. Lo anterior para garantizar realmente las mejoras señaladas.</w:t>
      </w:r>
    </w:p>
    <w:p w14:paraId="6A18677C" w14:textId="77777777" w:rsidR="00334778" w:rsidRDefault="00334778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213CBE84" w14:textId="514BC213" w:rsidR="00D6080A" w:rsidRPr="00BC0E5F" w:rsidRDefault="00F53B11" w:rsidP="00F53B11">
      <w:pPr>
        <w:tabs>
          <w:tab w:val="left" w:pos="5376"/>
        </w:tabs>
        <w:spacing w:after="200" w:line="276" w:lineRule="auto"/>
        <w:jc w:val="both"/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</w:pPr>
      <w:r>
        <w:rPr>
          <w:rFonts w:ascii="Bookman Old Style" w:eastAsia="Calibri" w:hAnsi="Bookman Old Style" w:cs="Arial"/>
          <w:b/>
          <w:bCs/>
          <w:noProof/>
          <w:sz w:val="24"/>
          <w:szCs w:val="24"/>
          <w:lang w:val="es-MX" w:eastAsia="es-MX"/>
        </w:rPr>
        <w:t>TERCERO</w:t>
      </w:r>
      <w:r w:rsidR="00D6080A" w:rsidRPr="005529CF">
        <w:rPr>
          <w:rFonts w:ascii="Bookman Old Style" w:eastAsia="Calibri" w:hAnsi="Bookman Old Style" w:cs="Arial"/>
          <w:b/>
          <w:bCs/>
          <w:noProof/>
          <w:sz w:val="24"/>
          <w:szCs w:val="24"/>
          <w:lang w:val="es-MX" w:eastAsia="es-MX"/>
        </w:rPr>
        <w:t xml:space="preserve">.-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Con fundamento en lo dispuesto por los artículos 69 de la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Constitución Política del Estado Libre y Soberano de Puebla, 121 del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</w:t>
      </w:r>
      <w:r w:rsidR="00D6080A" w:rsidRPr="005529C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>Reglamento Interior del Congreso del Estado, y demás relativos aplicables,</w:t>
      </w:r>
      <w:r w:rsidR="00D6080A" w:rsidRPr="00BC0E5F">
        <w:rPr>
          <w:rFonts w:ascii="Bookman Old Style" w:eastAsia="Calibri" w:hAnsi="Bookman Old Style" w:cs="Arial"/>
          <w:noProof/>
          <w:sz w:val="24"/>
          <w:szCs w:val="24"/>
          <w:lang w:val="es-MX" w:eastAsia="es-MX"/>
        </w:rPr>
        <w:t xml:space="preserve">  se solicita la dispensa de trámite por ser un asunto urgente y de obvia resolución.</w:t>
      </w:r>
    </w:p>
    <w:p w14:paraId="0D502A20" w14:textId="77777777" w:rsidR="00D6080A" w:rsidRPr="00BC0E5F" w:rsidRDefault="00D6080A" w:rsidP="00334778">
      <w:pPr>
        <w:autoSpaceDE w:val="0"/>
        <w:autoSpaceDN w:val="0"/>
        <w:adjustRightInd w:val="0"/>
        <w:spacing w:line="276" w:lineRule="auto"/>
        <w:jc w:val="both"/>
        <w:rPr>
          <w:rFonts w:ascii="Bookman Old Style" w:eastAsia="Calibri" w:hAnsi="Bookman Old Style" w:cs="Arial"/>
          <w:b/>
          <w:bCs/>
          <w:sz w:val="24"/>
          <w:szCs w:val="24"/>
          <w:lang w:val="es-MX"/>
        </w:rPr>
      </w:pPr>
    </w:p>
    <w:p w14:paraId="4546DE62" w14:textId="77777777" w:rsidR="00334778" w:rsidRPr="00BC0E5F" w:rsidRDefault="00334778" w:rsidP="0033477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  <w:r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A T E N T A M E N T E</w:t>
      </w:r>
    </w:p>
    <w:p w14:paraId="4ACE2360" w14:textId="6780EC97" w:rsidR="00334778" w:rsidRPr="00BC0E5F" w:rsidRDefault="0033477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  <w:r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CUATRO VEC</w:t>
      </w:r>
      <w:r w:rsidR="00DE60F0"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 xml:space="preserve">ES HEROICA PUEBLA DE ZARAGOZA; </w:t>
      </w:r>
      <w:r w:rsidR="000C221A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>08  DE OCTUBRE</w:t>
      </w:r>
      <w:r w:rsidRPr="00BC0E5F"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  <w:t xml:space="preserve"> DE 2019</w:t>
      </w:r>
    </w:p>
    <w:p w14:paraId="6130088B" w14:textId="77777777" w:rsidR="008305A8" w:rsidRPr="00BC0E5F" w:rsidRDefault="008305A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</w:p>
    <w:p w14:paraId="0AC4A134" w14:textId="77777777" w:rsidR="008305A8" w:rsidRPr="00BC0E5F" w:rsidRDefault="008305A8" w:rsidP="008305A8">
      <w:pPr>
        <w:spacing w:after="160" w:line="276" w:lineRule="auto"/>
        <w:jc w:val="center"/>
        <w:rPr>
          <w:rFonts w:ascii="Bookman Old Style" w:eastAsia="Arial" w:hAnsi="Bookman Old Style" w:cs="Arial"/>
          <w:b/>
          <w:color w:val="000000"/>
          <w:sz w:val="24"/>
          <w:szCs w:val="24"/>
          <w:lang w:val="es-MX"/>
        </w:rPr>
      </w:pPr>
    </w:p>
    <w:p w14:paraId="3469002A" w14:textId="77777777" w:rsidR="00041881" w:rsidRPr="00BC0E5F" w:rsidRDefault="00334778" w:rsidP="008305A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  <w:r w:rsidRPr="00BC0E5F">
        <w:rPr>
          <w:rFonts w:ascii="Bookman Old Style" w:eastAsia="Calibri" w:hAnsi="Bookman Old Style" w:cs="Arial"/>
          <w:b/>
          <w:sz w:val="24"/>
          <w:szCs w:val="24"/>
          <w:lang w:val="es-MX"/>
        </w:rPr>
        <w:t>DIP.  GABRIEL OSWALDO JIMÉNEZ LÓPEZ</w:t>
      </w:r>
    </w:p>
    <w:p w14:paraId="2F4DD87A" w14:textId="77777777" w:rsidR="005529CF" w:rsidRPr="00BC0E5F" w:rsidRDefault="005529CF" w:rsidP="008305A8">
      <w:pPr>
        <w:autoSpaceDE w:val="0"/>
        <w:autoSpaceDN w:val="0"/>
        <w:adjustRightInd w:val="0"/>
        <w:spacing w:line="276" w:lineRule="auto"/>
        <w:jc w:val="center"/>
        <w:rPr>
          <w:rFonts w:ascii="Bookman Old Style" w:eastAsia="Calibri" w:hAnsi="Bookman Old Style" w:cs="Arial"/>
          <w:b/>
          <w:sz w:val="24"/>
          <w:szCs w:val="24"/>
          <w:lang w:val="es-MX"/>
        </w:rPr>
      </w:pPr>
    </w:p>
    <w:p w14:paraId="3B380E8B" w14:textId="439F9362" w:rsidR="00DE60F0" w:rsidRDefault="00DE60F0" w:rsidP="00DE60F0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Arial"/>
          <w:b/>
          <w:sz w:val="22"/>
          <w:szCs w:val="22"/>
          <w:lang w:val="es-MX"/>
        </w:rPr>
      </w:pPr>
    </w:p>
    <w:sectPr w:rsidR="00DE60F0" w:rsidSect="003B67CB">
      <w:headerReference w:type="default" r:id="rId9"/>
      <w:headerReference w:type="first" r:id="rId10"/>
      <w:type w:val="continuous"/>
      <w:pgSz w:w="12240" w:h="15840"/>
      <w:pgMar w:top="2410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DFFE" w14:textId="77777777" w:rsidR="009518B9" w:rsidRDefault="009518B9" w:rsidP="001C0ED9">
      <w:r>
        <w:separator/>
      </w:r>
    </w:p>
  </w:endnote>
  <w:endnote w:type="continuationSeparator" w:id="0">
    <w:p w14:paraId="30DB677A" w14:textId="77777777" w:rsidR="009518B9" w:rsidRDefault="009518B9" w:rsidP="001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D81D" w14:textId="77777777" w:rsidR="009518B9" w:rsidRDefault="009518B9" w:rsidP="001C0ED9">
      <w:r>
        <w:separator/>
      </w:r>
    </w:p>
  </w:footnote>
  <w:footnote w:type="continuationSeparator" w:id="0">
    <w:p w14:paraId="73C26A97" w14:textId="77777777" w:rsidR="009518B9" w:rsidRDefault="009518B9" w:rsidP="001C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9E77" w14:textId="77777777" w:rsidR="003B67CB" w:rsidRDefault="003B67CB" w:rsidP="003B67CB">
    <w:pPr>
      <w:pStyle w:val="Encabezado"/>
      <w:jc w:val="center"/>
    </w:pPr>
    <w:r w:rsidRPr="00312E8F">
      <w:rPr>
        <w:rFonts w:ascii="Century Gothic" w:hAnsi="Century Gothic"/>
        <w:noProof/>
        <w:lang w:val="es-MX" w:eastAsia="es-MX"/>
      </w:rPr>
      <w:drawing>
        <wp:inline distT="0" distB="0" distL="0" distR="0" wp14:anchorId="3B456B4C" wp14:editId="71321208">
          <wp:extent cx="3011805" cy="1232535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D222E" w14:textId="77777777" w:rsidR="003B67CB" w:rsidRDefault="003B67CB" w:rsidP="003B67C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C4E0" w14:textId="77777777" w:rsidR="0096292E" w:rsidRDefault="003B67CB" w:rsidP="003B67CB">
    <w:pPr>
      <w:pStyle w:val="Encabezado"/>
      <w:jc w:val="center"/>
    </w:pPr>
    <w:r w:rsidRPr="00312E8F">
      <w:rPr>
        <w:rFonts w:ascii="Century Gothic" w:hAnsi="Century Gothic"/>
        <w:noProof/>
        <w:lang w:val="es-MX" w:eastAsia="es-MX"/>
      </w:rPr>
      <w:drawing>
        <wp:inline distT="0" distB="0" distL="0" distR="0" wp14:anchorId="28EAAB6D" wp14:editId="4DBF4B70">
          <wp:extent cx="3011805" cy="123253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6A5A"/>
    <w:multiLevelType w:val="hybridMultilevel"/>
    <w:tmpl w:val="914ED8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3E4E2C"/>
    <w:multiLevelType w:val="hybridMultilevel"/>
    <w:tmpl w:val="F424B6BE"/>
    <w:lvl w:ilvl="0" w:tplc="38346AA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53B"/>
    <w:multiLevelType w:val="multilevel"/>
    <w:tmpl w:val="A03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6E164D"/>
    <w:multiLevelType w:val="multilevel"/>
    <w:tmpl w:val="5CA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F4388"/>
    <w:multiLevelType w:val="multilevel"/>
    <w:tmpl w:val="E3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764378"/>
    <w:multiLevelType w:val="multilevel"/>
    <w:tmpl w:val="3E6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FD4F02"/>
    <w:multiLevelType w:val="multilevel"/>
    <w:tmpl w:val="AD9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121"/>
    <w:rsid w:val="00007402"/>
    <w:rsid w:val="000151B9"/>
    <w:rsid w:val="0003390F"/>
    <w:rsid w:val="0004140B"/>
    <w:rsid w:val="00041881"/>
    <w:rsid w:val="00060791"/>
    <w:rsid w:val="00066668"/>
    <w:rsid w:val="00067C32"/>
    <w:rsid w:val="00071DCC"/>
    <w:rsid w:val="0007554E"/>
    <w:rsid w:val="000832A1"/>
    <w:rsid w:val="00093C05"/>
    <w:rsid w:val="000A18F3"/>
    <w:rsid w:val="000A2D37"/>
    <w:rsid w:val="000B3198"/>
    <w:rsid w:val="000B79E6"/>
    <w:rsid w:val="000C221A"/>
    <w:rsid w:val="000E4BD8"/>
    <w:rsid w:val="00107359"/>
    <w:rsid w:val="00110BD0"/>
    <w:rsid w:val="001122EC"/>
    <w:rsid w:val="00122FBE"/>
    <w:rsid w:val="001369F8"/>
    <w:rsid w:val="00145108"/>
    <w:rsid w:val="00152983"/>
    <w:rsid w:val="00165B4C"/>
    <w:rsid w:val="00182CA0"/>
    <w:rsid w:val="00196659"/>
    <w:rsid w:val="001A45D3"/>
    <w:rsid w:val="001A78EF"/>
    <w:rsid w:val="001B3325"/>
    <w:rsid w:val="001C0ED9"/>
    <w:rsid w:val="00254D6D"/>
    <w:rsid w:val="00256BE3"/>
    <w:rsid w:val="0026588D"/>
    <w:rsid w:val="00266928"/>
    <w:rsid w:val="00290121"/>
    <w:rsid w:val="002929DB"/>
    <w:rsid w:val="002949E2"/>
    <w:rsid w:val="00334778"/>
    <w:rsid w:val="00337B9A"/>
    <w:rsid w:val="00342793"/>
    <w:rsid w:val="003442D3"/>
    <w:rsid w:val="003522F8"/>
    <w:rsid w:val="00352B44"/>
    <w:rsid w:val="00373092"/>
    <w:rsid w:val="00376AC1"/>
    <w:rsid w:val="00386246"/>
    <w:rsid w:val="003A6580"/>
    <w:rsid w:val="003B4892"/>
    <w:rsid w:val="003B67CB"/>
    <w:rsid w:val="003E14F2"/>
    <w:rsid w:val="004154F5"/>
    <w:rsid w:val="00442D7F"/>
    <w:rsid w:val="00474486"/>
    <w:rsid w:val="00481207"/>
    <w:rsid w:val="00484257"/>
    <w:rsid w:val="00486D81"/>
    <w:rsid w:val="004A14EC"/>
    <w:rsid w:val="004C554F"/>
    <w:rsid w:val="004D1B63"/>
    <w:rsid w:val="004D3F85"/>
    <w:rsid w:val="004E26A1"/>
    <w:rsid w:val="004E3ED5"/>
    <w:rsid w:val="0050496F"/>
    <w:rsid w:val="00505A03"/>
    <w:rsid w:val="00505CE8"/>
    <w:rsid w:val="0053078E"/>
    <w:rsid w:val="00550071"/>
    <w:rsid w:val="005529CF"/>
    <w:rsid w:val="005869E0"/>
    <w:rsid w:val="00590794"/>
    <w:rsid w:val="00590DD0"/>
    <w:rsid w:val="005932BE"/>
    <w:rsid w:val="005D03BE"/>
    <w:rsid w:val="005E0347"/>
    <w:rsid w:val="005E0CD2"/>
    <w:rsid w:val="00607BBD"/>
    <w:rsid w:val="0061068A"/>
    <w:rsid w:val="0061349C"/>
    <w:rsid w:val="006139D1"/>
    <w:rsid w:val="00635323"/>
    <w:rsid w:val="0065212A"/>
    <w:rsid w:val="00653149"/>
    <w:rsid w:val="00654635"/>
    <w:rsid w:val="00664FBB"/>
    <w:rsid w:val="006667D7"/>
    <w:rsid w:val="00673289"/>
    <w:rsid w:val="0068311B"/>
    <w:rsid w:val="00686AF2"/>
    <w:rsid w:val="00692469"/>
    <w:rsid w:val="00695D8A"/>
    <w:rsid w:val="0069638F"/>
    <w:rsid w:val="006A12BC"/>
    <w:rsid w:val="006B7A12"/>
    <w:rsid w:val="006D3710"/>
    <w:rsid w:val="00700501"/>
    <w:rsid w:val="007023F4"/>
    <w:rsid w:val="007132AA"/>
    <w:rsid w:val="00713FBC"/>
    <w:rsid w:val="007172B7"/>
    <w:rsid w:val="007404D6"/>
    <w:rsid w:val="00746590"/>
    <w:rsid w:val="00746592"/>
    <w:rsid w:val="00777530"/>
    <w:rsid w:val="007A26B7"/>
    <w:rsid w:val="007A38CC"/>
    <w:rsid w:val="007C0B2D"/>
    <w:rsid w:val="007D51BE"/>
    <w:rsid w:val="007D6287"/>
    <w:rsid w:val="007E5457"/>
    <w:rsid w:val="007E6B79"/>
    <w:rsid w:val="007F3E9D"/>
    <w:rsid w:val="00804197"/>
    <w:rsid w:val="00813EFF"/>
    <w:rsid w:val="008305A8"/>
    <w:rsid w:val="00885A8C"/>
    <w:rsid w:val="008B4FD8"/>
    <w:rsid w:val="008C193B"/>
    <w:rsid w:val="008F677D"/>
    <w:rsid w:val="00900CD4"/>
    <w:rsid w:val="00920FCC"/>
    <w:rsid w:val="00922D11"/>
    <w:rsid w:val="00927503"/>
    <w:rsid w:val="009460C3"/>
    <w:rsid w:val="009518B9"/>
    <w:rsid w:val="00962019"/>
    <w:rsid w:val="0096292E"/>
    <w:rsid w:val="009729D2"/>
    <w:rsid w:val="009916E0"/>
    <w:rsid w:val="009E64B5"/>
    <w:rsid w:val="009E680E"/>
    <w:rsid w:val="009E722B"/>
    <w:rsid w:val="009F7DA3"/>
    <w:rsid w:val="00A005B9"/>
    <w:rsid w:val="00A119D0"/>
    <w:rsid w:val="00A26812"/>
    <w:rsid w:val="00A27A44"/>
    <w:rsid w:val="00A42225"/>
    <w:rsid w:val="00A43D6E"/>
    <w:rsid w:val="00A47293"/>
    <w:rsid w:val="00A539EC"/>
    <w:rsid w:val="00A67B62"/>
    <w:rsid w:val="00A76B0A"/>
    <w:rsid w:val="00A811BC"/>
    <w:rsid w:val="00A82139"/>
    <w:rsid w:val="00AA0E56"/>
    <w:rsid w:val="00AC4FF2"/>
    <w:rsid w:val="00AE0B92"/>
    <w:rsid w:val="00AE163D"/>
    <w:rsid w:val="00AF1768"/>
    <w:rsid w:val="00AF2C3A"/>
    <w:rsid w:val="00B2382D"/>
    <w:rsid w:val="00B30F88"/>
    <w:rsid w:val="00B3137F"/>
    <w:rsid w:val="00B36BA3"/>
    <w:rsid w:val="00B37F55"/>
    <w:rsid w:val="00B41FDB"/>
    <w:rsid w:val="00B50CB8"/>
    <w:rsid w:val="00B64FA4"/>
    <w:rsid w:val="00B835A5"/>
    <w:rsid w:val="00B86E83"/>
    <w:rsid w:val="00B95188"/>
    <w:rsid w:val="00BB0E52"/>
    <w:rsid w:val="00BC0E5F"/>
    <w:rsid w:val="00BC602D"/>
    <w:rsid w:val="00BE2695"/>
    <w:rsid w:val="00BF4986"/>
    <w:rsid w:val="00C34DAB"/>
    <w:rsid w:val="00C418E6"/>
    <w:rsid w:val="00C4415E"/>
    <w:rsid w:val="00C452EE"/>
    <w:rsid w:val="00C453CB"/>
    <w:rsid w:val="00C52E31"/>
    <w:rsid w:val="00C66910"/>
    <w:rsid w:val="00C706CF"/>
    <w:rsid w:val="00C70AB9"/>
    <w:rsid w:val="00C80864"/>
    <w:rsid w:val="00C84D77"/>
    <w:rsid w:val="00CA31B4"/>
    <w:rsid w:val="00CA602B"/>
    <w:rsid w:val="00CD1F66"/>
    <w:rsid w:val="00CD7AFC"/>
    <w:rsid w:val="00CE6219"/>
    <w:rsid w:val="00CF0FFA"/>
    <w:rsid w:val="00D05858"/>
    <w:rsid w:val="00D2395C"/>
    <w:rsid w:val="00D23E02"/>
    <w:rsid w:val="00D34F75"/>
    <w:rsid w:val="00D367BE"/>
    <w:rsid w:val="00D41A4F"/>
    <w:rsid w:val="00D432CD"/>
    <w:rsid w:val="00D43EAB"/>
    <w:rsid w:val="00D50E4E"/>
    <w:rsid w:val="00D6080A"/>
    <w:rsid w:val="00DA69AB"/>
    <w:rsid w:val="00DB01F7"/>
    <w:rsid w:val="00DB2C38"/>
    <w:rsid w:val="00DC4F1E"/>
    <w:rsid w:val="00DC74C1"/>
    <w:rsid w:val="00DC75FB"/>
    <w:rsid w:val="00DD471C"/>
    <w:rsid w:val="00DD5C72"/>
    <w:rsid w:val="00DD7F48"/>
    <w:rsid w:val="00DE60F0"/>
    <w:rsid w:val="00DF5554"/>
    <w:rsid w:val="00E110E1"/>
    <w:rsid w:val="00E23938"/>
    <w:rsid w:val="00E24250"/>
    <w:rsid w:val="00E31492"/>
    <w:rsid w:val="00E53461"/>
    <w:rsid w:val="00E6466F"/>
    <w:rsid w:val="00E749D1"/>
    <w:rsid w:val="00E8765D"/>
    <w:rsid w:val="00E92B34"/>
    <w:rsid w:val="00EC1897"/>
    <w:rsid w:val="00EC48B2"/>
    <w:rsid w:val="00ED3D5D"/>
    <w:rsid w:val="00ED46DF"/>
    <w:rsid w:val="00EE2908"/>
    <w:rsid w:val="00EF67AA"/>
    <w:rsid w:val="00F00365"/>
    <w:rsid w:val="00F31635"/>
    <w:rsid w:val="00F34138"/>
    <w:rsid w:val="00F502E4"/>
    <w:rsid w:val="00F50B75"/>
    <w:rsid w:val="00F53B11"/>
    <w:rsid w:val="00F64250"/>
    <w:rsid w:val="00F65AED"/>
    <w:rsid w:val="00F80B3D"/>
    <w:rsid w:val="00F87699"/>
    <w:rsid w:val="00F90B73"/>
    <w:rsid w:val="00FA1D06"/>
    <w:rsid w:val="00FB24BE"/>
    <w:rsid w:val="00FD57CF"/>
    <w:rsid w:val="00FD72FA"/>
    <w:rsid w:val="00FF13F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14730"/>
  <w15:docId w15:val="{466DE7DF-E84D-4BD8-98AD-BB62C8D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121"/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0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C0ED9"/>
    <w:rPr>
      <w:rFonts w:ascii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1C0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C0ED9"/>
    <w:rPr>
      <w:rFonts w:ascii="Times New Roman" w:hAnsi="Times New Roman" w:cs="Times New Roman"/>
      <w:sz w:val="20"/>
      <w:szCs w:val="20"/>
      <w:lang w:val="en-US"/>
    </w:rPr>
  </w:style>
  <w:style w:type="character" w:styleId="Textoennegrita">
    <w:name w:val="Strong"/>
    <w:uiPriority w:val="99"/>
    <w:qFormat/>
    <w:rsid w:val="008F677D"/>
    <w:rPr>
      <w:rFonts w:cs="Times New Roman"/>
      <w:b/>
      <w:bCs/>
    </w:rPr>
  </w:style>
  <w:style w:type="character" w:customStyle="1" w:styleId="articulo-texto">
    <w:name w:val="articulo-texto"/>
    <w:uiPriority w:val="99"/>
    <w:rsid w:val="0055007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E60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C11-68AB-4421-A126-230CEF4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22</dc:creator>
  <cp:lastModifiedBy>Silvia</cp:lastModifiedBy>
  <cp:revision>2</cp:revision>
  <cp:lastPrinted>2019-02-26T18:23:00Z</cp:lastPrinted>
  <dcterms:created xsi:type="dcterms:W3CDTF">2019-10-07T20:15:00Z</dcterms:created>
  <dcterms:modified xsi:type="dcterms:W3CDTF">2019-10-07T20:15:00Z</dcterms:modified>
</cp:coreProperties>
</file>