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6918F" w14:textId="77777777" w:rsidR="00667E80" w:rsidRDefault="00667E80" w:rsidP="00667E80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</w:p>
    <w:p w14:paraId="46B76118" w14:textId="4FCB0689" w:rsidR="000F43B0" w:rsidRPr="00834BDA" w:rsidRDefault="000F43B0" w:rsidP="00834BDA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834BDA">
        <w:rPr>
          <w:rFonts w:ascii="Century Gothic" w:hAnsi="Century Gothic"/>
          <w:b/>
          <w:bCs/>
          <w:sz w:val="24"/>
          <w:szCs w:val="24"/>
        </w:rPr>
        <w:t xml:space="preserve">CC. DIPUTADOS INTEGRANTES DE LA </w:t>
      </w:r>
    </w:p>
    <w:p w14:paraId="0414C298" w14:textId="77777777" w:rsidR="000F43B0" w:rsidRPr="00834BDA" w:rsidRDefault="000F43B0" w:rsidP="00834BDA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834BDA">
        <w:rPr>
          <w:rFonts w:ascii="Century Gothic" w:hAnsi="Century Gothic"/>
          <w:b/>
          <w:bCs/>
          <w:sz w:val="24"/>
          <w:szCs w:val="24"/>
        </w:rPr>
        <w:t xml:space="preserve">MESA DIRECTIVA DE LA LX LEGISLATURA DEL </w:t>
      </w:r>
    </w:p>
    <w:p w14:paraId="2B79F1C6" w14:textId="77777777" w:rsidR="000F43B0" w:rsidRPr="00834BDA" w:rsidRDefault="000F43B0" w:rsidP="00834BDA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834BDA">
        <w:rPr>
          <w:rFonts w:ascii="Century Gothic" w:hAnsi="Century Gothic"/>
          <w:b/>
          <w:bCs/>
          <w:sz w:val="24"/>
          <w:szCs w:val="24"/>
        </w:rPr>
        <w:t xml:space="preserve">HONORABLE CONGRESO DEL ESTADO DE PUEBLA </w:t>
      </w:r>
    </w:p>
    <w:p w14:paraId="003D0762" w14:textId="77777777" w:rsidR="000F43B0" w:rsidRPr="00834BDA" w:rsidRDefault="000F43B0" w:rsidP="00834BDA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834BDA">
        <w:rPr>
          <w:rFonts w:ascii="Century Gothic" w:hAnsi="Century Gothic"/>
          <w:b/>
          <w:bCs/>
          <w:sz w:val="24"/>
          <w:szCs w:val="24"/>
        </w:rPr>
        <w:t xml:space="preserve">P R E S E N T E </w:t>
      </w:r>
    </w:p>
    <w:p w14:paraId="4050F4E5" w14:textId="77777777" w:rsidR="00BE6D56" w:rsidRPr="00834BDA" w:rsidRDefault="00BE6D56" w:rsidP="00834BDA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4D17F103" w14:textId="4DA75B15" w:rsidR="00BE6D56" w:rsidRPr="00834BDA" w:rsidRDefault="000F43B0" w:rsidP="00834BD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34BDA">
        <w:rPr>
          <w:rFonts w:ascii="Century Gothic" w:hAnsi="Century Gothic"/>
          <w:sz w:val="24"/>
          <w:szCs w:val="24"/>
        </w:rPr>
        <w:t xml:space="preserve">La suscrita Diputada Guadalupe Tlaque Cuazitl, integrante del Grupo Legislativo de Movimiento de Regeneración Nacional de la LX Legislatura del Honorable Congreso del Estado; de conformidad con lo dispuesto por los artículos 57 fracción I, 63 fracción II y 64 de la Constitución Política del Estado Libre y Soberano de Puebla; así como los artículos 44 fracción II y 144 fracción II de la Ley Orgánica del Poder Legislativo del Estado Libre y Soberano de Puebla; 120 fracción VI del Reglamento Interior del Honorable </w:t>
      </w:r>
      <w:r w:rsidR="00BE6D56" w:rsidRPr="00834BDA">
        <w:rPr>
          <w:rFonts w:ascii="Century Gothic" w:hAnsi="Century Gothic"/>
          <w:sz w:val="24"/>
          <w:szCs w:val="24"/>
        </w:rPr>
        <w:t>C</w:t>
      </w:r>
      <w:r w:rsidRPr="00834BDA">
        <w:rPr>
          <w:rFonts w:ascii="Century Gothic" w:hAnsi="Century Gothic"/>
          <w:sz w:val="24"/>
          <w:szCs w:val="24"/>
        </w:rPr>
        <w:t>ongreso del Estado Libre y Soberano de Puebla, someto a consideración de esta Soberanía el presente Punto de Acuerdo de conformidad con los siguientes:</w:t>
      </w:r>
    </w:p>
    <w:p w14:paraId="431DCA2F" w14:textId="68E2536D" w:rsidR="00667E80" w:rsidRPr="00834BDA" w:rsidRDefault="00BE6D56" w:rsidP="00834BDA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  <w:lang w:val="en-US"/>
        </w:rPr>
      </w:pPr>
      <w:r w:rsidRPr="00834BDA">
        <w:rPr>
          <w:rFonts w:ascii="Century Gothic" w:hAnsi="Century Gothic"/>
          <w:b/>
          <w:bCs/>
          <w:sz w:val="24"/>
          <w:szCs w:val="24"/>
          <w:lang w:val="en-US"/>
        </w:rPr>
        <w:t>C</w:t>
      </w:r>
      <w:r w:rsidR="00AD3BCF" w:rsidRPr="00834BDA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  <w:r w:rsidRPr="00834BDA">
        <w:rPr>
          <w:rFonts w:ascii="Century Gothic" w:hAnsi="Century Gothic"/>
          <w:b/>
          <w:bCs/>
          <w:sz w:val="24"/>
          <w:szCs w:val="24"/>
          <w:lang w:val="en-US"/>
        </w:rPr>
        <w:t>O</w:t>
      </w:r>
      <w:r w:rsidR="00AD3BCF" w:rsidRPr="00834BDA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  <w:r w:rsidRPr="00834BDA">
        <w:rPr>
          <w:rFonts w:ascii="Century Gothic" w:hAnsi="Century Gothic"/>
          <w:b/>
          <w:bCs/>
          <w:sz w:val="24"/>
          <w:szCs w:val="24"/>
          <w:lang w:val="en-US"/>
        </w:rPr>
        <w:t>N</w:t>
      </w:r>
      <w:r w:rsidR="00AD3BCF" w:rsidRPr="00834BDA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  <w:r w:rsidRPr="00834BDA">
        <w:rPr>
          <w:rFonts w:ascii="Century Gothic" w:hAnsi="Century Gothic"/>
          <w:b/>
          <w:bCs/>
          <w:sz w:val="24"/>
          <w:szCs w:val="24"/>
          <w:lang w:val="en-US"/>
        </w:rPr>
        <w:t>S</w:t>
      </w:r>
      <w:r w:rsidR="00AD3BCF" w:rsidRPr="00834BDA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  <w:r w:rsidRPr="00834BDA">
        <w:rPr>
          <w:rFonts w:ascii="Century Gothic" w:hAnsi="Century Gothic"/>
          <w:b/>
          <w:bCs/>
          <w:sz w:val="24"/>
          <w:szCs w:val="24"/>
          <w:lang w:val="en-US"/>
        </w:rPr>
        <w:t>I</w:t>
      </w:r>
      <w:r w:rsidR="00AD3BCF" w:rsidRPr="00834BDA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  <w:r w:rsidRPr="00834BDA">
        <w:rPr>
          <w:rFonts w:ascii="Century Gothic" w:hAnsi="Century Gothic"/>
          <w:b/>
          <w:bCs/>
          <w:sz w:val="24"/>
          <w:szCs w:val="24"/>
          <w:lang w:val="en-US"/>
        </w:rPr>
        <w:t>D</w:t>
      </w:r>
      <w:r w:rsidR="00AD3BCF" w:rsidRPr="00834BDA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  <w:r w:rsidRPr="00834BDA">
        <w:rPr>
          <w:rFonts w:ascii="Century Gothic" w:hAnsi="Century Gothic"/>
          <w:b/>
          <w:bCs/>
          <w:sz w:val="24"/>
          <w:szCs w:val="24"/>
          <w:lang w:val="en-US"/>
        </w:rPr>
        <w:t>E</w:t>
      </w:r>
      <w:r w:rsidR="00AD3BCF" w:rsidRPr="00834BDA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  <w:r w:rsidRPr="00834BDA">
        <w:rPr>
          <w:rFonts w:ascii="Century Gothic" w:hAnsi="Century Gothic"/>
          <w:b/>
          <w:bCs/>
          <w:sz w:val="24"/>
          <w:szCs w:val="24"/>
          <w:lang w:val="en-US"/>
        </w:rPr>
        <w:t>R</w:t>
      </w:r>
      <w:r w:rsidR="00AD3BCF" w:rsidRPr="00834BDA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  <w:r w:rsidRPr="00834BDA">
        <w:rPr>
          <w:rFonts w:ascii="Century Gothic" w:hAnsi="Century Gothic"/>
          <w:b/>
          <w:bCs/>
          <w:sz w:val="24"/>
          <w:szCs w:val="24"/>
          <w:lang w:val="en-US"/>
        </w:rPr>
        <w:t>A</w:t>
      </w:r>
      <w:r w:rsidR="00AD3BCF" w:rsidRPr="00834BDA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  <w:r w:rsidRPr="00834BDA">
        <w:rPr>
          <w:rFonts w:ascii="Century Gothic" w:hAnsi="Century Gothic"/>
          <w:b/>
          <w:bCs/>
          <w:sz w:val="24"/>
          <w:szCs w:val="24"/>
          <w:lang w:val="en-US"/>
        </w:rPr>
        <w:t>N</w:t>
      </w:r>
      <w:r w:rsidR="00AD3BCF" w:rsidRPr="00834BDA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  <w:r w:rsidRPr="00834BDA">
        <w:rPr>
          <w:rFonts w:ascii="Century Gothic" w:hAnsi="Century Gothic"/>
          <w:b/>
          <w:bCs/>
          <w:sz w:val="24"/>
          <w:szCs w:val="24"/>
          <w:lang w:val="en-US"/>
        </w:rPr>
        <w:t>DO</w:t>
      </w:r>
      <w:r w:rsidR="00AD3BCF" w:rsidRPr="00834BDA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  <w:r w:rsidRPr="00834BDA">
        <w:rPr>
          <w:rFonts w:ascii="Century Gothic" w:hAnsi="Century Gothic"/>
          <w:b/>
          <w:bCs/>
          <w:sz w:val="24"/>
          <w:szCs w:val="24"/>
          <w:lang w:val="en-US"/>
        </w:rPr>
        <w:t>S</w:t>
      </w:r>
    </w:p>
    <w:p w14:paraId="79AF37F0" w14:textId="0D7F831A" w:rsidR="00485F8D" w:rsidRDefault="00485F8D" w:rsidP="00834BD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34BDA">
        <w:rPr>
          <w:rFonts w:ascii="Century Gothic" w:hAnsi="Century Gothic"/>
          <w:sz w:val="24"/>
          <w:szCs w:val="24"/>
        </w:rPr>
        <w:t xml:space="preserve">El Gobierno Federal, llevó a cabo una reestructuración de la política social y así también del </w:t>
      </w:r>
      <w:r w:rsidR="00834BDA" w:rsidRPr="00834BDA">
        <w:rPr>
          <w:rFonts w:ascii="Century Gothic" w:hAnsi="Century Gothic"/>
          <w:sz w:val="24"/>
          <w:szCs w:val="24"/>
        </w:rPr>
        <w:t>Fondo de Aportaciones para la Infraestructura Social (</w:t>
      </w:r>
      <w:r w:rsidRPr="00834BDA">
        <w:rPr>
          <w:rFonts w:ascii="Century Gothic" w:hAnsi="Century Gothic"/>
          <w:sz w:val="24"/>
          <w:szCs w:val="24"/>
        </w:rPr>
        <w:t>FAIS</w:t>
      </w:r>
      <w:r w:rsidR="00834BDA" w:rsidRPr="00834BDA">
        <w:rPr>
          <w:rFonts w:ascii="Century Gothic" w:hAnsi="Century Gothic"/>
          <w:sz w:val="24"/>
          <w:szCs w:val="24"/>
        </w:rPr>
        <w:t>)</w:t>
      </w:r>
      <w:r w:rsidRPr="00834BDA">
        <w:rPr>
          <w:rFonts w:ascii="Century Gothic" w:hAnsi="Century Gothic"/>
          <w:sz w:val="24"/>
          <w:szCs w:val="24"/>
        </w:rPr>
        <w:t>, terminando con la política neoliberal que sólo ha ocasionado desigualdad y rezago social; y se puso en marcha una nueva política de gobierno que atiend</w:t>
      </w:r>
      <w:r w:rsidR="00E04AAF">
        <w:rPr>
          <w:rFonts w:ascii="Century Gothic" w:hAnsi="Century Gothic"/>
          <w:sz w:val="24"/>
          <w:szCs w:val="24"/>
        </w:rPr>
        <w:t>a</w:t>
      </w:r>
      <w:r w:rsidRPr="00834BDA">
        <w:rPr>
          <w:rFonts w:ascii="Century Gothic" w:hAnsi="Century Gothic"/>
          <w:sz w:val="24"/>
          <w:szCs w:val="24"/>
        </w:rPr>
        <w:t xml:space="preserve"> a las necesidades de las personas más vulnerables.</w:t>
      </w:r>
    </w:p>
    <w:p w14:paraId="623FD55D" w14:textId="77777777" w:rsidR="00834BDA" w:rsidRPr="00834BDA" w:rsidRDefault="00834BDA" w:rsidP="00834BD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0420DB75" w14:textId="3941FDDB" w:rsidR="00834BDA" w:rsidRDefault="00834BDA" w:rsidP="00834BD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34BDA">
        <w:rPr>
          <w:rFonts w:ascii="Century Gothic" w:hAnsi="Century Gothic"/>
          <w:sz w:val="24"/>
          <w:szCs w:val="24"/>
        </w:rPr>
        <w:lastRenderedPageBreak/>
        <w:t>Los recursos del Fondo de Aportaciones para la Infraestructura Social (FAIS) se divide en dos: el Fondo de Infraestructura Social para las Entidades (FISE) y del Fondo de Aportaciones para la Infraestructura Social Municipal (FISM).</w:t>
      </w:r>
    </w:p>
    <w:p w14:paraId="33B49DC4" w14:textId="77777777" w:rsidR="00E04AAF" w:rsidRPr="00834BDA" w:rsidRDefault="00E04AAF" w:rsidP="00834BD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20090BC9" w14:textId="264283F5" w:rsidR="00834BDA" w:rsidRDefault="00485F8D" w:rsidP="00834BD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34BDA">
        <w:rPr>
          <w:rFonts w:ascii="Century Gothic" w:hAnsi="Century Gothic"/>
          <w:sz w:val="24"/>
          <w:szCs w:val="24"/>
        </w:rPr>
        <w:t xml:space="preserve">El Fondo de Aportaciones para la Infraestructura Social (FAIS) </w:t>
      </w:r>
      <w:r w:rsidRPr="00834BDA">
        <w:rPr>
          <w:rFonts w:ascii="Century Gothic" w:hAnsi="Century Gothic"/>
          <w:b/>
          <w:bCs/>
          <w:sz w:val="24"/>
          <w:szCs w:val="24"/>
        </w:rPr>
        <w:t>es una de las principales fuentes de financiamiento para la dotación de infraestructura y servicios básicos</w:t>
      </w:r>
      <w:r w:rsidRPr="00834BDA">
        <w:rPr>
          <w:rFonts w:ascii="Century Gothic" w:hAnsi="Century Gothic"/>
          <w:sz w:val="24"/>
          <w:szCs w:val="24"/>
        </w:rPr>
        <w:t xml:space="preserve"> que benefician a la población en condiciones de pobreza extrema, a las localidades con alto o muy alto rezago social y a las zonas de atención prioritaria (ZAP). </w:t>
      </w:r>
    </w:p>
    <w:p w14:paraId="60CD2645" w14:textId="77777777" w:rsidR="00E04AAF" w:rsidRDefault="00E04AAF" w:rsidP="00834BD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2DEB7B39" w14:textId="1615EDBF" w:rsidR="00485F8D" w:rsidRDefault="00485F8D" w:rsidP="00834BDA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834BDA">
        <w:rPr>
          <w:rFonts w:ascii="Century Gothic" w:hAnsi="Century Gothic"/>
          <w:b/>
          <w:bCs/>
          <w:sz w:val="24"/>
          <w:szCs w:val="24"/>
        </w:rPr>
        <w:t>En ocasiones a nivel municipal, es la principal vía para financiar obra pública, en virtud de la debilidad de sus finanzas.</w:t>
      </w:r>
    </w:p>
    <w:p w14:paraId="624E760D" w14:textId="77777777" w:rsidR="00834BDA" w:rsidRPr="00834BDA" w:rsidRDefault="00834BDA" w:rsidP="00834BDA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4B54A786" w14:textId="587D166A" w:rsidR="00834BDA" w:rsidRDefault="00834BDA" w:rsidP="00834BD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 esta forma y de manera estratégica</w:t>
      </w:r>
      <w:r w:rsidR="00485F8D" w:rsidRPr="00834BDA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los recursos del FAIS pueden ser utilizados para la</w:t>
      </w:r>
      <w:r w:rsidR="00485F8D" w:rsidRPr="00834BDA">
        <w:rPr>
          <w:rFonts w:ascii="Century Gothic" w:hAnsi="Century Gothic"/>
          <w:sz w:val="24"/>
          <w:szCs w:val="24"/>
        </w:rPr>
        <w:t xml:space="preserve"> creación de infraestructura de agua potable, alcantarillado, drenaje y letrinas, urbanización, electrificación rural y de colonias pobres, infraestructura básica de salud, infraestructura básica educativa, mejoramiento de vivienda, y Mantenimiento de Infraestructura.</w:t>
      </w:r>
    </w:p>
    <w:p w14:paraId="581CEE72" w14:textId="77777777" w:rsidR="00834BDA" w:rsidRPr="00834BDA" w:rsidRDefault="00834BDA" w:rsidP="00834BD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1755932E" w14:textId="68E12339" w:rsidR="00834BDA" w:rsidRDefault="00834BDA" w:rsidP="00834BDA">
      <w:pPr>
        <w:spacing w:line="360" w:lineRule="auto"/>
        <w:jc w:val="both"/>
        <w:rPr>
          <w:rFonts w:ascii="Century Gothic" w:hAnsi="Century Gothic" w:cs="Helvetica"/>
          <w:color w:val="444444"/>
          <w:sz w:val="24"/>
          <w:szCs w:val="24"/>
          <w:shd w:val="clear" w:color="auto" w:fill="FFFFFF"/>
        </w:rPr>
      </w:pPr>
      <w:r>
        <w:rPr>
          <w:rFonts w:ascii="Century Gothic" w:hAnsi="Century Gothic" w:cs="Helvetica"/>
          <w:color w:val="444444"/>
          <w:sz w:val="24"/>
          <w:szCs w:val="24"/>
          <w:shd w:val="clear" w:color="auto" w:fill="FFFFFF"/>
        </w:rPr>
        <w:t>Por otra parte,</w:t>
      </w:r>
      <w:r w:rsidR="00E04AAF">
        <w:rPr>
          <w:rFonts w:ascii="Century Gothic" w:hAnsi="Century Gothic" w:cs="Helvetica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Century Gothic" w:hAnsi="Century Gothic" w:cs="Helvetica"/>
          <w:color w:val="444444"/>
          <w:sz w:val="24"/>
          <w:szCs w:val="24"/>
          <w:shd w:val="clear" w:color="auto" w:fill="FFFFFF"/>
        </w:rPr>
        <w:t>l</w:t>
      </w:r>
      <w:r w:rsidRPr="00834BDA">
        <w:rPr>
          <w:rFonts w:ascii="Century Gothic" w:hAnsi="Century Gothic" w:cs="Helvetica"/>
          <w:color w:val="444444"/>
          <w:sz w:val="24"/>
          <w:szCs w:val="24"/>
          <w:shd w:val="clear" w:color="auto" w:fill="FFFFFF"/>
        </w:rPr>
        <w:t>as entidades federativas y municipios deben cumplir oportunamente con la implementación normativa prevista en la Ley General de Contabilidad Gubernamental y su Reforma</w:t>
      </w:r>
      <w:r>
        <w:rPr>
          <w:rFonts w:ascii="Century Gothic" w:hAnsi="Century Gothic" w:cs="Helvetica"/>
          <w:color w:val="444444"/>
          <w:sz w:val="24"/>
          <w:szCs w:val="24"/>
          <w:shd w:val="clear" w:color="auto" w:fill="FFFFFF"/>
        </w:rPr>
        <w:t>.</w:t>
      </w:r>
    </w:p>
    <w:p w14:paraId="43BF453D" w14:textId="77777777" w:rsidR="00834BDA" w:rsidRPr="00834BDA" w:rsidRDefault="00834BDA" w:rsidP="00834BD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4F59ED7E" w14:textId="768DCB69" w:rsidR="00E04AAF" w:rsidRDefault="00E04AAF" w:rsidP="00E04AA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34BDA">
        <w:rPr>
          <w:rFonts w:ascii="Century Gothic" w:hAnsi="Century Gothic"/>
          <w:sz w:val="24"/>
          <w:szCs w:val="24"/>
        </w:rPr>
        <w:lastRenderedPageBreak/>
        <w:t>El artículo 75</w:t>
      </w:r>
      <w:r>
        <w:rPr>
          <w:rFonts w:ascii="Century Gothic" w:hAnsi="Century Gothic"/>
          <w:sz w:val="24"/>
          <w:szCs w:val="24"/>
        </w:rPr>
        <w:t xml:space="preserve"> </w:t>
      </w:r>
      <w:r w:rsidRPr="00834BDA">
        <w:rPr>
          <w:rFonts w:ascii="Century Gothic" w:hAnsi="Century Gothic"/>
          <w:sz w:val="24"/>
          <w:szCs w:val="24"/>
        </w:rPr>
        <w:t>de la Ley General de Contabilidad Gubernamental, establece que los municipios enviarán a las entidades federativas información sobre la aplicación de los recursos del Fondo de Aportaciones para la Infraestructura Social Municipal, en las obras y acciones establecidas en la Ley de Coordinación Fiscal que beneficien directamente a la población en rezago social y pobreza extrema para que por su conducto se incluya en los informes trimestrales a que se refiere el artículo 48 de la Ley de Coordinación Fiscal.</w:t>
      </w:r>
    </w:p>
    <w:p w14:paraId="2E8BAD85" w14:textId="77777777" w:rsidR="00E04AAF" w:rsidRPr="00834BDA" w:rsidRDefault="00E04AAF" w:rsidP="00E04AA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286C7B95" w14:textId="6D0CA026" w:rsidR="00957775" w:rsidRDefault="00485F8D" w:rsidP="00BE6D56">
      <w:pPr>
        <w:spacing w:line="360" w:lineRule="auto"/>
        <w:jc w:val="both"/>
        <w:rPr>
          <w:rStyle w:val="tr"/>
          <w:rFonts w:ascii="Century Gothic" w:hAnsi="Century Gothic" w:cs="Helvetica"/>
          <w:color w:val="444444"/>
          <w:sz w:val="24"/>
          <w:szCs w:val="24"/>
          <w:shd w:val="clear" w:color="auto" w:fill="FFFFFF"/>
        </w:rPr>
      </w:pPr>
      <w:r w:rsidRPr="00834BDA">
        <w:rPr>
          <w:rStyle w:val="tr"/>
          <w:rFonts w:ascii="Century Gothic" w:hAnsi="Century Gothic" w:cs="Helvetica"/>
          <w:color w:val="444444"/>
          <w:sz w:val="24"/>
          <w:szCs w:val="24"/>
          <w:shd w:val="clear" w:color="auto" w:fill="FFFFFF"/>
        </w:rPr>
        <w:t>A más tardar el 15 de enero de cada año,</w:t>
      </w:r>
      <w:r w:rsidR="00E04AAF">
        <w:rPr>
          <w:rStyle w:val="tr"/>
          <w:rFonts w:ascii="Century Gothic" w:hAnsi="Century Gothic" w:cs="Helvetica"/>
          <w:color w:val="444444"/>
          <w:sz w:val="24"/>
          <w:szCs w:val="24"/>
          <w:shd w:val="clear" w:color="auto" w:fill="FFFFFF"/>
        </w:rPr>
        <w:t xml:space="preserve"> los estados y municipios</w:t>
      </w:r>
      <w:r w:rsidRPr="00834BDA">
        <w:rPr>
          <w:rStyle w:val="tr"/>
          <w:rFonts w:ascii="Century Gothic" w:hAnsi="Century Gothic" w:cs="Helvetica"/>
          <w:color w:val="444444"/>
          <w:sz w:val="24"/>
          <w:szCs w:val="24"/>
          <w:shd w:val="clear" w:color="auto" w:fill="FFFFFF"/>
        </w:rPr>
        <w:t xml:space="preserve"> deberán reintegrar a la Tesorería de la Federación las Transferencias federales etiquetadas que, al 31 de diciembre del ejercicio fiscal inmediato anterior, no hayan sido devengadas por sus Entes Públicos</w:t>
      </w:r>
      <w:r w:rsidR="00E04AAF">
        <w:rPr>
          <w:rStyle w:val="tr"/>
          <w:rFonts w:ascii="Century Gothic" w:hAnsi="Century Gothic" w:cs="Helvetica"/>
          <w:color w:val="444444"/>
          <w:sz w:val="24"/>
          <w:szCs w:val="24"/>
          <w:shd w:val="clear" w:color="auto" w:fill="FFFFFF"/>
        </w:rPr>
        <w:t xml:space="preserve">, de conformidad con lo establecido en la </w:t>
      </w:r>
      <w:r w:rsidR="00E04AAF" w:rsidRPr="00E04AAF">
        <w:rPr>
          <w:rStyle w:val="tr"/>
          <w:rFonts w:ascii="Century Gothic" w:hAnsi="Century Gothic" w:cs="Helvetica"/>
          <w:color w:val="444444"/>
          <w:sz w:val="24"/>
          <w:szCs w:val="24"/>
          <w:shd w:val="clear" w:color="auto" w:fill="FFFFFF"/>
        </w:rPr>
        <w:t>Ley de Disciplina Financiera de las Entidades Federativas y los Municipios</w:t>
      </w:r>
      <w:r w:rsidR="00E04AAF">
        <w:rPr>
          <w:rStyle w:val="tr"/>
          <w:rFonts w:ascii="Century Gothic" w:hAnsi="Century Gothic" w:cs="Helvetica"/>
          <w:color w:val="444444"/>
          <w:sz w:val="24"/>
          <w:szCs w:val="24"/>
          <w:shd w:val="clear" w:color="auto" w:fill="FFFFFF"/>
        </w:rPr>
        <w:t>.</w:t>
      </w:r>
    </w:p>
    <w:p w14:paraId="1868CA24" w14:textId="77777777" w:rsidR="008C0303" w:rsidRPr="008C0303" w:rsidRDefault="008C0303" w:rsidP="00BE6D56">
      <w:pPr>
        <w:spacing w:line="360" w:lineRule="auto"/>
        <w:jc w:val="both"/>
        <w:rPr>
          <w:rFonts w:ascii="Century Gothic" w:hAnsi="Century Gothic" w:cs="Helvetica"/>
          <w:color w:val="444444"/>
          <w:sz w:val="24"/>
          <w:szCs w:val="24"/>
          <w:shd w:val="clear" w:color="auto" w:fill="FFFFFF"/>
        </w:rPr>
      </w:pPr>
    </w:p>
    <w:p w14:paraId="460805C5" w14:textId="6D3E569F" w:rsidR="00957775" w:rsidRPr="00957775" w:rsidRDefault="00957775" w:rsidP="000F7F9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957775">
        <w:rPr>
          <w:rFonts w:ascii="Century Gothic" w:hAnsi="Century Gothic"/>
          <w:sz w:val="24"/>
          <w:szCs w:val="24"/>
        </w:rPr>
        <w:t>Por lo anteriormente expuesto y fundado, tengo a bien presentar a su</w:t>
      </w:r>
      <w:r w:rsidR="000F7F9D">
        <w:rPr>
          <w:rFonts w:ascii="Century Gothic" w:hAnsi="Century Gothic"/>
          <w:sz w:val="24"/>
          <w:szCs w:val="24"/>
        </w:rPr>
        <w:t xml:space="preserve"> </w:t>
      </w:r>
      <w:r w:rsidRPr="00957775">
        <w:rPr>
          <w:rFonts w:ascii="Century Gothic" w:hAnsi="Century Gothic"/>
          <w:sz w:val="24"/>
          <w:szCs w:val="24"/>
        </w:rPr>
        <w:t>consideración el siguiente:</w:t>
      </w:r>
    </w:p>
    <w:p w14:paraId="3CD22CF6" w14:textId="3222B5D4" w:rsidR="00957775" w:rsidRDefault="00957775" w:rsidP="000F7F9D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0F7F9D">
        <w:rPr>
          <w:rFonts w:ascii="Century Gothic" w:hAnsi="Century Gothic"/>
          <w:b/>
          <w:bCs/>
          <w:sz w:val="24"/>
          <w:szCs w:val="24"/>
        </w:rPr>
        <w:t>EXHORTO</w:t>
      </w:r>
    </w:p>
    <w:p w14:paraId="78A64853" w14:textId="77777777" w:rsidR="00667E80" w:rsidRPr="000F7F9D" w:rsidRDefault="00667E80" w:rsidP="000F7F9D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11B0784" w14:textId="4BF75B43" w:rsidR="000F7F9D" w:rsidRDefault="00957775" w:rsidP="000F7F9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487C64">
        <w:rPr>
          <w:rFonts w:ascii="Century Gothic" w:hAnsi="Century Gothic"/>
          <w:b/>
          <w:bCs/>
          <w:sz w:val="24"/>
          <w:szCs w:val="24"/>
        </w:rPr>
        <w:t>Primero.</w:t>
      </w:r>
      <w:r w:rsidRPr="00957775">
        <w:rPr>
          <w:rFonts w:ascii="Century Gothic" w:hAnsi="Century Gothic"/>
          <w:sz w:val="24"/>
          <w:szCs w:val="24"/>
        </w:rPr>
        <w:t xml:space="preserve"> Se hace un respetuoso y atento </w:t>
      </w:r>
      <w:r w:rsidR="00161832">
        <w:rPr>
          <w:rFonts w:ascii="Century Gothic" w:hAnsi="Century Gothic"/>
          <w:sz w:val="24"/>
          <w:szCs w:val="24"/>
        </w:rPr>
        <w:t>e</w:t>
      </w:r>
      <w:r w:rsidRPr="00957775">
        <w:rPr>
          <w:rFonts w:ascii="Century Gothic" w:hAnsi="Century Gothic"/>
          <w:sz w:val="24"/>
          <w:szCs w:val="24"/>
        </w:rPr>
        <w:t>xhorto a los</w:t>
      </w:r>
      <w:r w:rsidR="000F7F9D">
        <w:rPr>
          <w:rFonts w:ascii="Century Gothic" w:hAnsi="Century Gothic"/>
          <w:sz w:val="24"/>
          <w:szCs w:val="24"/>
        </w:rPr>
        <w:t xml:space="preserve"> </w:t>
      </w:r>
      <w:r w:rsidRPr="00957775">
        <w:rPr>
          <w:rFonts w:ascii="Century Gothic" w:hAnsi="Century Gothic"/>
          <w:sz w:val="24"/>
          <w:szCs w:val="24"/>
        </w:rPr>
        <w:t xml:space="preserve">217 Ayuntamientos del Estado de Puebla </w:t>
      </w:r>
      <w:r w:rsidR="00F20960">
        <w:rPr>
          <w:rFonts w:ascii="Century Gothic" w:hAnsi="Century Gothic"/>
          <w:sz w:val="24"/>
          <w:szCs w:val="24"/>
        </w:rPr>
        <w:t xml:space="preserve">para que en el ámbito de sus respectivas atribuciones </w:t>
      </w:r>
      <w:r w:rsidR="00667E80">
        <w:rPr>
          <w:rFonts w:ascii="Century Gothic" w:hAnsi="Century Gothic"/>
          <w:sz w:val="24"/>
          <w:szCs w:val="24"/>
        </w:rPr>
        <w:t>se realicen</w:t>
      </w:r>
      <w:r w:rsidR="008C0303">
        <w:rPr>
          <w:rFonts w:ascii="Century Gothic" w:hAnsi="Century Gothic"/>
          <w:sz w:val="24"/>
          <w:szCs w:val="24"/>
        </w:rPr>
        <w:t xml:space="preserve"> las actuaciones pertinentes que permitan la correcta aplicación de los recursos del FAIS</w:t>
      </w:r>
      <w:r w:rsidR="00F20960">
        <w:rPr>
          <w:rFonts w:ascii="Century Gothic" w:hAnsi="Century Gothic"/>
          <w:sz w:val="24"/>
          <w:szCs w:val="24"/>
        </w:rPr>
        <w:t xml:space="preserve">, pero sobre todo </w:t>
      </w:r>
      <w:r w:rsidR="008C0303">
        <w:rPr>
          <w:rFonts w:ascii="Century Gothic" w:hAnsi="Century Gothic"/>
          <w:sz w:val="24"/>
          <w:szCs w:val="24"/>
        </w:rPr>
        <w:t>su debida comprobación con el objeto de evitar sanciones administrativas</w:t>
      </w:r>
      <w:r w:rsidR="00F20960">
        <w:rPr>
          <w:rFonts w:ascii="Century Gothic" w:hAnsi="Century Gothic"/>
          <w:sz w:val="24"/>
          <w:szCs w:val="24"/>
        </w:rPr>
        <w:t>.</w:t>
      </w:r>
    </w:p>
    <w:p w14:paraId="2C99E773" w14:textId="77777777" w:rsidR="000F7F9D" w:rsidRPr="00957775" w:rsidRDefault="000F7F9D" w:rsidP="000F7F9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134D2B7A" w14:textId="7D318E41" w:rsidR="00957775" w:rsidRDefault="00957775" w:rsidP="000F7F9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487C64">
        <w:rPr>
          <w:rFonts w:ascii="Century Gothic" w:hAnsi="Century Gothic"/>
          <w:b/>
          <w:bCs/>
          <w:sz w:val="24"/>
          <w:szCs w:val="24"/>
        </w:rPr>
        <w:t>Segundo.</w:t>
      </w:r>
      <w:r w:rsidRPr="00957775">
        <w:rPr>
          <w:rFonts w:ascii="Century Gothic" w:hAnsi="Century Gothic"/>
          <w:sz w:val="24"/>
          <w:szCs w:val="24"/>
        </w:rPr>
        <w:t xml:space="preserve"> </w:t>
      </w:r>
      <w:r w:rsidR="00487C64">
        <w:rPr>
          <w:rFonts w:ascii="Century Gothic" w:hAnsi="Century Gothic"/>
          <w:sz w:val="24"/>
          <w:szCs w:val="24"/>
        </w:rPr>
        <w:t>Una vez aprobado el presente acuerdo, comuníquese el mismo a las autoridades exhortadas, para los efectos administrativos correspondientes</w:t>
      </w:r>
      <w:r w:rsidRPr="00957775">
        <w:rPr>
          <w:rFonts w:ascii="Century Gothic" w:hAnsi="Century Gothic"/>
          <w:sz w:val="24"/>
          <w:szCs w:val="24"/>
        </w:rPr>
        <w:t>.</w:t>
      </w:r>
    </w:p>
    <w:p w14:paraId="3BA5C008" w14:textId="77777777" w:rsidR="00667E80" w:rsidRPr="00957775" w:rsidRDefault="00667E80" w:rsidP="000F7F9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1289AB22" w14:textId="77777777" w:rsidR="00957775" w:rsidRPr="00957775" w:rsidRDefault="00957775" w:rsidP="000F7F9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957775">
        <w:rPr>
          <w:rFonts w:ascii="Century Gothic" w:hAnsi="Century Gothic"/>
          <w:sz w:val="24"/>
          <w:szCs w:val="24"/>
        </w:rPr>
        <w:t>Notifíquese.</w:t>
      </w:r>
    </w:p>
    <w:p w14:paraId="4676F997" w14:textId="77777777" w:rsidR="00957775" w:rsidRPr="000F7F9D" w:rsidRDefault="00957775" w:rsidP="000F7F9D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0F7F9D">
        <w:rPr>
          <w:rFonts w:ascii="Century Gothic" w:hAnsi="Century Gothic"/>
          <w:b/>
          <w:bCs/>
          <w:sz w:val="24"/>
          <w:szCs w:val="24"/>
        </w:rPr>
        <w:t>ATENTAMENTE</w:t>
      </w:r>
    </w:p>
    <w:p w14:paraId="685B0D09" w14:textId="6AE5C2CA" w:rsidR="000F7F9D" w:rsidRDefault="00957775" w:rsidP="000F7F9D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0F7F9D">
        <w:rPr>
          <w:rFonts w:ascii="Century Gothic" w:hAnsi="Century Gothic"/>
          <w:b/>
          <w:bCs/>
          <w:sz w:val="24"/>
          <w:szCs w:val="24"/>
        </w:rPr>
        <w:t>CUATRO VECES HEROICA PUEBLA DE ZARAGOZA A</w:t>
      </w:r>
      <w:r w:rsidR="000F7F9D">
        <w:rPr>
          <w:rFonts w:ascii="Century Gothic" w:hAnsi="Century Gothic"/>
          <w:b/>
          <w:bCs/>
          <w:sz w:val="24"/>
          <w:szCs w:val="24"/>
        </w:rPr>
        <w:t>,</w:t>
      </w:r>
      <w:r w:rsidRPr="000F7F9D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5D51DF35" w14:textId="6DA714B5" w:rsidR="00957775" w:rsidRDefault="00667E80" w:rsidP="000F7F9D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2</w:t>
      </w:r>
      <w:r w:rsidR="000634ED">
        <w:rPr>
          <w:rFonts w:ascii="Century Gothic" w:hAnsi="Century Gothic"/>
          <w:b/>
          <w:bCs/>
          <w:sz w:val="24"/>
          <w:szCs w:val="24"/>
        </w:rPr>
        <w:t>8</w:t>
      </w:r>
      <w:r w:rsidR="00957775" w:rsidRPr="000F7F9D">
        <w:rPr>
          <w:rFonts w:ascii="Century Gothic" w:hAnsi="Century Gothic"/>
          <w:b/>
          <w:bCs/>
          <w:sz w:val="24"/>
          <w:szCs w:val="24"/>
        </w:rPr>
        <w:t xml:space="preserve"> DE NOVIEMBRE DE 2019</w:t>
      </w:r>
    </w:p>
    <w:p w14:paraId="6945D8C9" w14:textId="379A85D7" w:rsidR="000F7F9D" w:rsidRDefault="000F7F9D" w:rsidP="000F7F9D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E0D5562" w14:textId="209166FF" w:rsidR="000F7F9D" w:rsidRDefault="000F7F9D" w:rsidP="000F7F9D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52908AD" w14:textId="77777777" w:rsidR="000F7F9D" w:rsidRPr="000F7F9D" w:rsidRDefault="000F7F9D" w:rsidP="000F7F9D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3992E7C" w14:textId="77777777" w:rsidR="000F7F9D" w:rsidRDefault="00957775" w:rsidP="000F7F9D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0F7F9D">
        <w:rPr>
          <w:rFonts w:ascii="Century Gothic" w:hAnsi="Century Gothic"/>
          <w:b/>
          <w:bCs/>
          <w:sz w:val="24"/>
          <w:szCs w:val="24"/>
        </w:rPr>
        <w:t xml:space="preserve">DIPUTADA GUADALUPE TLAQUE CUAZITL </w:t>
      </w:r>
    </w:p>
    <w:p w14:paraId="3A65B537" w14:textId="77777777" w:rsidR="000F7F9D" w:rsidRDefault="00957775" w:rsidP="000F7F9D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0F7F9D">
        <w:rPr>
          <w:rFonts w:ascii="Century Gothic" w:hAnsi="Century Gothic"/>
          <w:b/>
          <w:bCs/>
          <w:sz w:val="24"/>
          <w:szCs w:val="24"/>
        </w:rPr>
        <w:t>INTEGRANTE DE LA SEXAGÉSIMA</w:t>
      </w:r>
      <w:r w:rsidR="000F7F9D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F7F9D">
        <w:rPr>
          <w:rFonts w:ascii="Century Gothic" w:hAnsi="Century Gothic"/>
          <w:b/>
          <w:bCs/>
          <w:sz w:val="24"/>
          <w:szCs w:val="24"/>
        </w:rPr>
        <w:t xml:space="preserve">LEGISLATURA DEL </w:t>
      </w:r>
    </w:p>
    <w:p w14:paraId="246B29B0" w14:textId="3B7CB62D" w:rsidR="00957775" w:rsidRPr="000F7F9D" w:rsidRDefault="00957775" w:rsidP="000F7F9D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0F7F9D">
        <w:rPr>
          <w:rFonts w:ascii="Century Gothic" w:hAnsi="Century Gothic"/>
          <w:b/>
          <w:bCs/>
          <w:sz w:val="24"/>
          <w:szCs w:val="24"/>
        </w:rPr>
        <w:t>HONORABLE CONGRESO DEL ESTADO LIBRE Y SOBERANO DE PUEBLA</w:t>
      </w:r>
    </w:p>
    <w:sectPr w:rsidR="00957775" w:rsidRPr="000F7F9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3F9A4" w14:textId="77777777" w:rsidR="00CF7D24" w:rsidRDefault="00CF7D24" w:rsidP="000F43B0">
      <w:pPr>
        <w:spacing w:after="0" w:line="240" w:lineRule="auto"/>
      </w:pPr>
      <w:r>
        <w:separator/>
      </w:r>
    </w:p>
  </w:endnote>
  <w:endnote w:type="continuationSeparator" w:id="0">
    <w:p w14:paraId="7C06C2E1" w14:textId="77777777" w:rsidR="00CF7D24" w:rsidRDefault="00CF7D24" w:rsidP="000F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928DC" w14:textId="77777777" w:rsidR="00CF7D24" w:rsidRDefault="00CF7D24" w:rsidP="000F43B0">
      <w:pPr>
        <w:spacing w:after="0" w:line="240" w:lineRule="auto"/>
      </w:pPr>
      <w:r>
        <w:separator/>
      </w:r>
    </w:p>
  </w:footnote>
  <w:footnote w:type="continuationSeparator" w:id="0">
    <w:p w14:paraId="2D11F096" w14:textId="77777777" w:rsidR="00CF7D24" w:rsidRDefault="00CF7D24" w:rsidP="000F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CAC47" w14:textId="77777777" w:rsidR="000F43B0" w:rsidRDefault="000F43B0" w:rsidP="000F43B0">
    <w:pPr>
      <w:pStyle w:val="Encabezado"/>
    </w:pPr>
    <w:r w:rsidRPr="000F43B0">
      <w:rPr>
        <w:noProof/>
      </w:rPr>
      <w:drawing>
        <wp:inline distT="0" distB="0" distL="0" distR="0" wp14:anchorId="65B4824A" wp14:editId="41DEC95A">
          <wp:extent cx="2800350" cy="1106725"/>
          <wp:effectExtent l="0" t="0" r="0" b="0"/>
          <wp:docPr id="4" name="Imagen 3">
            <a:extLst xmlns:a="http://schemas.openxmlformats.org/drawingml/2006/main">
              <a:ext uri="{FF2B5EF4-FFF2-40B4-BE49-F238E27FC236}">
                <a16:creationId xmlns:a16="http://schemas.microsoft.com/office/drawing/2014/main" id="{0DBE0C2D-A476-436B-BB5D-A771804A38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0DBE0C2D-A476-436B-BB5D-A771804A38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2589" t="15699" r="64965" b="70108"/>
                  <a:stretch/>
                </pic:blipFill>
                <pic:spPr>
                  <a:xfrm>
                    <a:off x="0" y="0"/>
                    <a:ext cx="2819253" cy="1114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A0205" w14:textId="77777777" w:rsidR="000F43B0" w:rsidRPr="000F43B0" w:rsidRDefault="000F43B0" w:rsidP="000F43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8E"/>
    <w:rsid w:val="0004099A"/>
    <w:rsid w:val="000634ED"/>
    <w:rsid w:val="000F43B0"/>
    <w:rsid w:val="000F7F9D"/>
    <w:rsid w:val="00161832"/>
    <w:rsid w:val="001A2FC4"/>
    <w:rsid w:val="00432171"/>
    <w:rsid w:val="00485F8D"/>
    <w:rsid w:val="00487C64"/>
    <w:rsid w:val="004A5147"/>
    <w:rsid w:val="0054178E"/>
    <w:rsid w:val="005D5A6F"/>
    <w:rsid w:val="005E2654"/>
    <w:rsid w:val="00667E80"/>
    <w:rsid w:val="0075086B"/>
    <w:rsid w:val="00834BDA"/>
    <w:rsid w:val="008C0303"/>
    <w:rsid w:val="00957775"/>
    <w:rsid w:val="00AD3BCF"/>
    <w:rsid w:val="00B315F7"/>
    <w:rsid w:val="00BA4438"/>
    <w:rsid w:val="00BA701C"/>
    <w:rsid w:val="00BE6D56"/>
    <w:rsid w:val="00CC17C5"/>
    <w:rsid w:val="00CF7D24"/>
    <w:rsid w:val="00E04AAF"/>
    <w:rsid w:val="00F2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C194E"/>
  <w15:chartTrackingRefBased/>
  <w15:docId w15:val="{4546523B-4330-49D0-9D01-45D93F99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3B0"/>
  </w:style>
  <w:style w:type="paragraph" w:styleId="Piedepgina">
    <w:name w:val="footer"/>
    <w:basedOn w:val="Normal"/>
    <w:link w:val="PiedepginaCar"/>
    <w:uiPriority w:val="99"/>
    <w:unhideWhenUsed/>
    <w:rsid w:val="000F4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3B0"/>
  </w:style>
  <w:style w:type="character" w:customStyle="1" w:styleId="tr">
    <w:name w:val="tr"/>
    <w:basedOn w:val="Fuentedeprrafopredeter"/>
    <w:rsid w:val="00485F8D"/>
  </w:style>
  <w:style w:type="paragraph" w:styleId="Textodeglobo">
    <w:name w:val="Balloon Text"/>
    <w:basedOn w:val="Normal"/>
    <w:link w:val="TextodegloboCar"/>
    <w:uiPriority w:val="99"/>
    <w:semiHidden/>
    <w:unhideWhenUsed/>
    <w:rsid w:val="008C0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Dip. Guadalupe Tlaque Cuazitl</dc:creator>
  <cp:keywords/>
  <dc:description/>
  <cp:lastModifiedBy>Silvia Pérez Pérez</cp:lastModifiedBy>
  <cp:revision>2</cp:revision>
  <cp:lastPrinted>2019-11-25T19:16:00Z</cp:lastPrinted>
  <dcterms:created xsi:type="dcterms:W3CDTF">2019-11-28T22:24:00Z</dcterms:created>
  <dcterms:modified xsi:type="dcterms:W3CDTF">2019-11-28T22:24:00Z</dcterms:modified>
</cp:coreProperties>
</file>