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6D0C" w14:textId="77777777" w:rsidR="00676E24" w:rsidRPr="00676E24" w:rsidRDefault="005528C5" w:rsidP="00E030F6">
      <w:pPr>
        <w:spacing w:after="0" w:line="360" w:lineRule="auto"/>
        <w:jc w:val="both"/>
        <w:rPr>
          <w:rFonts w:ascii="Century Gothic" w:hAnsi="Century Gothic"/>
          <w:b/>
        </w:rPr>
      </w:pPr>
      <w:bookmarkStart w:id="0" w:name="_GoBack"/>
      <w:bookmarkEnd w:id="0"/>
      <w:r w:rsidRPr="00676E24">
        <w:rPr>
          <w:rFonts w:ascii="Century Gothic" w:hAnsi="Century Gothic"/>
          <w:b/>
        </w:rPr>
        <w:t xml:space="preserve">DIPUTADOS INTEGRANTES DE LA MESA DIRECTIVA </w:t>
      </w:r>
    </w:p>
    <w:p w14:paraId="40CC2F8A" w14:textId="77777777" w:rsidR="00676E24" w:rsidRPr="00676E24" w:rsidRDefault="005528C5" w:rsidP="00E030F6">
      <w:pPr>
        <w:spacing w:after="0" w:line="360" w:lineRule="auto"/>
        <w:jc w:val="both"/>
        <w:rPr>
          <w:rFonts w:ascii="Century Gothic" w:hAnsi="Century Gothic"/>
          <w:b/>
        </w:rPr>
      </w:pPr>
      <w:r w:rsidRPr="00676E24">
        <w:rPr>
          <w:rFonts w:ascii="Century Gothic" w:hAnsi="Century Gothic"/>
          <w:b/>
        </w:rPr>
        <w:t xml:space="preserve">DE LA LX LEGISLATURA DEL HONORABLE CONGRESO </w:t>
      </w:r>
    </w:p>
    <w:p w14:paraId="7448943A" w14:textId="77777777" w:rsidR="00676E24" w:rsidRPr="00676E24" w:rsidRDefault="005528C5" w:rsidP="00E030F6">
      <w:pPr>
        <w:spacing w:after="0" w:line="360" w:lineRule="auto"/>
        <w:jc w:val="both"/>
        <w:rPr>
          <w:rFonts w:ascii="Century Gothic" w:hAnsi="Century Gothic"/>
          <w:b/>
        </w:rPr>
      </w:pPr>
      <w:r w:rsidRPr="00676E24">
        <w:rPr>
          <w:rFonts w:ascii="Century Gothic" w:hAnsi="Century Gothic"/>
          <w:b/>
        </w:rPr>
        <w:t xml:space="preserve">DEL ESTADO DE PUEBLA </w:t>
      </w:r>
    </w:p>
    <w:p w14:paraId="1F6B5FC5" w14:textId="77777777" w:rsidR="005528C5" w:rsidRPr="00676E24" w:rsidRDefault="005528C5" w:rsidP="00E030F6">
      <w:pPr>
        <w:spacing w:after="0" w:line="360" w:lineRule="auto"/>
        <w:jc w:val="both"/>
        <w:rPr>
          <w:rFonts w:ascii="Century Gothic" w:hAnsi="Century Gothic"/>
          <w:b/>
        </w:rPr>
      </w:pPr>
      <w:r w:rsidRPr="00676E24">
        <w:rPr>
          <w:rFonts w:ascii="Century Gothic" w:hAnsi="Century Gothic"/>
          <w:b/>
        </w:rPr>
        <w:t>PRESENTES</w:t>
      </w:r>
    </w:p>
    <w:p w14:paraId="7545D537" w14:textId="77777777" w:rsidR="00676E24" w:rsidRPr="00676E24" w:rsidRDefault="00676E24" w:rsidP="00E030F6">
      <w:pPr>
        <w:spacing w:after="0" w:line="360" w:lineRule="auto"/>
        <w:jc w:val="both"/>
        <w:rPr>
          <w:rFonts w:ascii="Century Gothic" w:hAnsi="Century Gothic"/>
        </w:rPr>
      </w:pPr>
    </w:p>
    <w:p w14:paraId="13119838" w14:textId="77777777" w:rsidR="00676E24" w:rsidRPr="00676E24" w:rsidRDefault="00676E24" w:rsidP="00E030F6">
      <w:pPr>
        <w:spacing w:after="0" w:line="360" w:lineRule="auto"/>
        <w:jc w:val="both"/>
        <w:rPr>
          <w:rFonts w:ascii="Century Gothic" w:hAnsi="Century Gothic"/>
        </w:rPr>
      </w:pPr>
      <w:r w:rsidRPr="00676E24">
        <w:rPr>
          <w:rFonts w:ascii="Century Gothic" w:hAnsi="Century Gothic"/>
        </w:rPr>
        <w:t>Los que suscriben, Diputados</w:t>
      </w:r>
      <w:r>
        <w:rPr>
          <w:rFonts w:ascii="Century Gothic" w:hAnsi="Century Gothic"/>
        </w:rPr>
        <w:t xml:space="preserve"> </w:t>
      </w:r>
      <w:r w:rsidRPr="00676E24">
        <w:rPr>
          <w:rFonts w:ascii="Century Gothic" w:hAnsi="Century Gothic"/>
        </w:rPr>
        <w:t xml:space="preserve">Liliana Luna Aguirre </w:t>
      </w:r>
      <w:r>
        <w:rPr>
          <w:rFonts w:ascii="Century Gothic" w:hAnsi="Century Gothic"/>
        </w:rPr>
        <w:t>y José Armando García Avendaño</w:t>
      </w:r>
      <w:r w:rsidRPr="00676E24">
        <w:rPr>
          <w:rFonts w:ascii="Century Gothic" w:hAnsi="Century Gothic"/>
        </w:rPr>
        <w:t xml:space="preserve">, integrantes del Grupo Legislativo del Partido de la Revolución Democrática Alejandra Guadalupe </w:t>
      </w:r>
      <w:proofErr w:type="spellStart"/>
      <w:r w:rsidRPr="00676E24">
        <w:rPr>
          <w:rFonts w:ascii="Century Gothic" w:hAnsi="Century Gothic"/>
        </w:rPr>
        <w:t>Esquitín</w:t>
      </w:r>
      <w:proofErr w:type="spellEnd"/>
      <w:r w:rsidRPr="00676E24">
        <w:rPr>
          <w:rFonts w:ascii="Century Gothic" w:hAnsi="Century Gothic"/>
        </w:rPr>
        <w:t xml:space="preserve"> Lastiri y Carlos Alberto Morales Álvarez, integrantes del Grupo Legislativo de Movimiento Ciudadano; </w:t>
      </w:r>
      <w:proofErr w:type="spellStart"/>
      <w:r w:rsidRPr="00676E24">
        <w:rPr>
          <w:rFonts w:ascii="Century Gothic" w:hAnsi="Century Gothic"/>
        </w:rPr>
        <w:t>Uruviel</w:t>
      </w:r>
      <w:proofErr w:type="spellEnd"/>
      <w:r w:rsidRPr="00676E24">
        <w:rPr>
          <w:rFonts w:ascii="Century Gothic" w:hAnsi="Century Gothic"/>
        </w:rPr>
        <w:t xml:space="preserve"> González Vieyra, Representante de Compromiso por Puebla;, de la LX Legislatura del Honorable Congreso del Estado, con fundamento en lo dispuesto por los artículos 57, fracción I, 63, fracción II y 64 de la Constitución Política del Estado Libre y Soberano de Puebla; 44 fracción II, 146 y 147 de la Ley Orgánica del Poder Legislativo del Estado Libre y Soberano de Puebla; y 120 fracción VI del Reglamento Interior del Honorable Congreso del Estado Libre y Soberano de Puebla, sometemos a consideración de esta Soberanía el siguiente Punto de Acuerdo, bajo los siguientes: </w:t>
      </w:r>
    </w:p>
    <w:p w14:paraId="25094BED" w14:textId="77777777" w:rsidR="00676E24" w:rsidRPr="00676E24" w:rsidRDefault="00676E24" w:rsidP="00676E24">
      <w:pPr>
        <w:spacing w:after="0" w:line="360" w:lineRule="auto"/>
        <w:jc w:val="center"/>
        <w:rPr>
          <w:rFonts w:ascii="Century Gothic" w:hAnsi="Century Gothic"/>
          <w:b/>
        </w:rPr>
      </w:pPr>
      <w:r w:rsidRPr="00676E24">
        <w:rPr>
          <w:rFonts w:ascii="Century Gothic" w:hAnsi="Century Gothic"/>
          <w:b/>
        </w:rPr>
        <w:t>CONSIDERANDOS</w:t>
      </w:r>
    </w:p>
    <w:p w14:paraId="70B283AF" w14:textId="77777777" w:rsidR="00676E24" w:rsidRPr="00676E24" w:rsidRDefault="00676E24" w:rsidP="00E030F6">
      <w:pPr>
        <w:spacing w:after="0" w:line="360" w:lineRule="auto"/>
        <w:jc w:val="both"/>
        <w:rPr>
          <w:rFonts w:ascii="Century Gothic" w:hAnsi="Century Gothic"/>
        </w:rPr>
      </w:pPr>
      <w:r w:rsidRPr="00676E24">
        <w:rPr>
          <w:rFonts w:ascii="Century Gothic" w:hAnsi="Century Gothic"/>
        </w:rPr>
        <w:t xml:space="preserve"> </w:t>
      </w:r>
    </w:p>
    <w:p w14:paraId="0B72C072" w14:textId="77777777" w:rsidR="00CB70DB" w:rsidRPr="006D3F9B" w:rsidRDefault="00CB70DB" w:rsidP="00CB70DB">
      <w:pPr>
        <w:spacing w:line="360" w:lineRule="auto"/>
        <w:jc w:val="both"/>
        <w:rPr>
          <w:rFonts w:ascii="Century Gothic" w:hAnsi="Century Gothic"/>
        </w:rPr>
      </w:pPr>
      <w:r w:rsidRPr="006D3F9B">
        <w:rPr>
          <w:rFonts w:ascii="Century Gothic" w:hAnsi="Century Gothic"/>
        </w:rPr>
        <w:t xml:space="preserve">En pasados días pudimos constatar un fenómeno que no se había encontrado en la memoria reciente, el desarrollo </w:t>
      </w:r>
      <w:r w:rsidR="006B31B6">
        <w:rPr>
          <w:rFonts w:ascii="Century Gothic" w:hAnsi="Century Gothic"/>
        </w:rPr>
        <w:t>de un desabasto de medicamentos y vacunas</w:t>
      </w:r>
      <w:r w:rsidRPr="006D3F9B">
        <w:rPr>
          <w:rFonts w:ascii="Century Gothic" w:hAnsi="Century Gothic"/>
        </w:rPr>
        <w:t xml:space="preserve"> en México</w:t>
      </w:r>
      <w:r>
        <w:rPr>
          <w:rFonts w:ascii="Century Gothic" w:hAnsi="Century Gothic"/>
        </w:rPr>
        <w:t xml:space="preserve"> que</w:t>
      </w:r>
      <w:r w:rsidRPr="006D3F9B">
        <w:rPr>
          <w:rFonts w:ascii="Century Gothic" w:hAnsi="Century Gothic"/>
        </w:rPr>
        <w:t xml:space="preserve"> se desató por razones que aún son parte de </w:t>
      </w:r>
      <w:r w:rsidR="006B31B6">
        <w:rPr>
          <w:rFonts w:ascii="Century Gothic" w:hAnsi="Century Gothic"/>
        </w:rPr>
        <w:t xml:space="preserve">un </w:t>
      </w:r>
      <w:r w:rsidRPr="006D3F9B">
        <w:rPr>
          <w:rFonts w:ascii="Century Gothic" w:hAnsi="Century Gothic"/>
        </w:rPr>
        <w:t>debate</w:t>
      </w:r>
      <w:r w:rsidR="006B31B6">
        <w:rPr>
          <w:rFonts w:ascii="Century Gothic" w:hAnsi="Century Gothic"/>
        </w:rPr>
        <w:t xml:space="preserve"> nacional</w:t>
      </w:r>
      <w:r w:rsidRPr="006D3F9B">
        <w:rPr>
          <w:rFonts w:ascii="Century Gothic" w:hAnsi="Century Gothic"/>
        </w:rPr>
        <w:t>.</w:t>
      </w:r>
    </w:p>
    <w:p w14:paraId="4C4D903B" w14:textId="77777777" w:rsidR="00CB70DB" w:rsidRDefault="00CB70DB" w:rsidP="00CB70D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Algunos especialistas mencionan que el principal problema</w:t>
      </w:r>
      <w:r w:rsidR="006B31B6">
        <w:rPr>
          <w:rFonts w:ascii="Century Gothic" w:hAnsi="Century Gothic"/>
        </w:rPr>
        <w:t xml:space="preserve"> es, </w:t>
      </w:r>
      <w:r>
        <w:rPr>
          <w:rFonts w:ascii="Century Gothic" w:hAnsi="Century Gothic"/>
        </w:rPr>
        <w:t xml:space="preserve">que no se distingue en el presupuesto federal el gasto para vacunas y medicinas, es decir, es un presupuesto global para ambos conceptos y que ello no se presupuestó el gasto de los agentes que apoyan a evitar este fenómeno. </w:t>
      </w:r>
    </w:p>
    <w:p w14:paraId="56A317D3" w14:textId="77777777" w:rsidR="00CB70DB" w:rsidRDefault="006B31B6" w:rsidP="00CB70D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Estamos en</w:t>
      </w:r>
      <w:r w:rsidR="00CB70DB">
        <w:rPr>
          <w:rFonts w:ascii="Century Gothic" w:hAnsi="Century Gothic"/>
        </w:rPr>
        <w:t xml:space="preserve"> días de mayor frío en el país, sobretodo en nuestro estado, trayendo como consecuencia enfermedades cardiorrespiratorias, gripes, y el virus que mayor afecta en estas fechas </w:t>
      </w:r>
      <w:proofErr w:type="gramStart"/>
      <w:r w:rsidR="00CB70DB">
        <w:rPr>
          <w:rFonts w:ascii="Century Gothic" w:hAnsi="Century Gothic"/>
        </w:rPr>
        <w:t>el influenza estacional</w:t>
      </w:r>
      <w:proofErr w:type="gramEnd"/>
      <w:r w:rsidR="00CB70DB">
        <w:rPr>
          <w:rFonts w:ascii="Century Gothic" w:hAnsi="Century Gothic"/>
        </w:rPr>
        <w:t xml:space="preserve">. </w:t>
      </w:r>
    </w:p>
    <w:p w14:paraId="49D5E52D" w14:textId="77777777" w:rsidR="006B31B6" w:rsidRDefault="006B31B6" w:rsidP="00CB70D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Tan solo en diciembre,</w:t>
      </w:r>
      <w:r w:rsidR="001C0512">
        <w:rPr>
          <w:rFonts w:ascii="Century Gothic" w:hAnsi="Century Gothic"/>
        </w:rPr>
        <w:t xml:space="preserve"> por citar un ejemplo,</w:t>
      </w:r>
      <w:r>
        <w:rPr>
          <w:rFonts w:ascii="Century Gothic" w:hAnsi="Century Gothic"/>
        </w:rPr>
        <w:t xml:space="preserve"> en la sierra nororiental, se sufrieron temperaturas que bajaron</w:t>
      </w:r>
      <w:r w:rsidR="001C0512">
        <w:rPr>
          <w:rFonts w:ascii="Century Gothic" w:hAnsi="Century Gothic"/>
        </w:rPr>
        <w:t xml:space="preserve"> hasta los cero grados, en otras zonas aledañas llegó la</w:t>
      </w:r>
      <w:r>
        <w:rPr>
          <w:rFonts w:ascii="Century Gothic" w:hAnsi="Century Gothic"/>
        </w:rPr>
        <w:t xml:space="preserve"> sensación térmica </w:t>
      </w:r>
      <w:r w:rsidR="001C0512">
        <w:rPr>
          <w:rFonts w:ascii="Century Gothic" w:hAnsi="Century Gothic"/>
        </w:rPr>
        <w:t>en de</w:t>
      </w:r>
      <w:r>
        <w:rPr>
          <w:rFonts w:ascii="Century Gothic" w:hAnsi="Century Gothic"/>
        </w:rPr>
        <w:t xml:space="preserve"> menos 3 grados centígrados.</w:t>
      </w:r>
    </w:p>
    <w:p w14:paraId="2DC5BBED" w14:textId="77777777" w:rsidR="00CB70DB" w:rsidRDefault="00CB70DB" w:rsidP="00CB70D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prevención siempre será un mecanismo para evitar la enfermedad, y las vacunas son parte de esta estrategia a fin de garantizar la salud de los mexicanos y evitar enfermedades futuras. </w:t>
      </w:r>
    </w:p>
    <w:p w14:paraId="15C73F01" w14:textId="77777777" w:rsidR="00CB70DB" w:rsidRDefault="00CB70DB" w:rsidP="00CB70D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Influenza estacional, es una de las principales enfermedades de la época, para ello la Secretaría de Salud ha promovido la aplicación de la vacuna contra este virus. </w:t>
      </w:r>
    </w:p>
    <w:p w14:paraId="17C8BCEB" w14:textId="77777777" w:rsidR="00CB70DB" w:rsidRPr="00E52294" w:rsidRDefault="00CB70DB" w:rsidP="00CB70D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Según datos oficiales esta vacuna s</w:t>
      </w:r>
      <w:r w:rsidRPr="00E52294">
        <w:rPr>
          <w:rFonts w:ascii="Century Gothic" w:hAnsi="Century Gothic"/>
        </w:rPr>
        <w:t>e aplica mediante una inyección intramuscular en el muslo izquierdo en las y los menores de 18 meses de edad; y de los 18 meses de edad en adelante se aplica en el brazo izquierdo.</w:t>
      </w:r>
    </w:p>
    <w:p w14:paraId="0B0435A7" w14:textId="77777777" w:rsidR="00CB70DB" w:rsidRPr="00E52294" w:rsidRDefault="00CB70DB" w:rsidP="00CB70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 w:rsidRPr="00E52294">
        <w:rPr>
          <w:rFonts w:ascii="Century Gothic" w:hAnsi="Century Gothic"/>
        </w:rPr>
        <w:t>A niñas o niños de 6 meses a 59 meses de edad: primero 2 dosis con un intervalo mínimo de cuatro semanas entre cada una. Posteriormente se les aplica una vez al año.</w:t>
      </w:r>
    </w:p>
    <w:p w14:paraId="3B8AF693" w14:textId="77777777" w:rsidR="00CB70DB" w:rsidRPr="00E52294" w:rsidRDefault="00CB70DB" w:rsidP="00CB70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 w:rsidRPr="00E52294">
        <w:rPr>
          <w:rFonts w:ascii="Century Gothic" w:hAnsi="Century Gothic"/>
        </w:rPr>
        <w:t>A niñas o niños y adolescentes de 5 a 18 años con factores de riesgo. Las niñas o niños de 5 a 8 años que no han recibido dos dosis de la vacuna reciben dosis con intervalo de un mes entre cada una y posteriormente una vez al año. Las niñas o niños mayores de 9 años hasta los 18 años de edad reciben una dosis anualmente, hayan o no recibido antes la vacuna.</w:t>
      </w:r>
    </w:p>
    <w:p w14:paraId="5D223400" w14:textId="77777777" w:rsidR="00CB70DB" w:rsidRPr="00E52294" w:rsidRDefault="00CB70DB" w:rsidP="00CB70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 w:rsidRPr="00E52294">
        <w:rPr>
          <w:rFonts w:ascii="Century Gothic" w:hAnsi="Century Gothic"/>
        </w:rPr>
        <w:t>A personas de 60 y más años de edad, una dosis cada año.</w:t>
      </w:r>
    </w:p>
    <w:p w14:paraId="0431D299" w14:textId="77777777" w:rsidR="00CB70DB" w:rsidRPr="00E52294" w:rsidRDefault="00CB70DB" w:rsidP="00CB70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 w:rsidRPr="00E52294">
        <w:rPr>
          <w:rFonts w:ascii="Century Gothic" w:hAnsi="Century Gothic"/>
        </w:rPr>
        <w:lastRenderedPageBreak/>
        <w:t>A personas de 19 a 59 años de edad con factores de riesgo, se les aplica una dosis cada año.</w:t>
      </w:r>
    </w:p>
    <w:p w14:paraId="0668EEF5" w14:textId="77777777" w:rsidR="00CB70DB" w:rsidRPr="001C0512" w:rsidRDefault="00CB70DB" w:rsidP="00CB70DB">
      <w:pPr>
        <w:spacing w:line="360" w:lineRule="auto"/>
        <w:jc w:val="both"/>
        <w:rPr>
          <w:rFonts w:ascii="Century Gothic" w:hAnsi="Century Gothic"/>
          <w:color w:val="000000" w:themeColor="text1"/>
        </w:rPr>
      </w:pPr>
      <w:r w:rsidRPr="0034161B">
        <w:rPr>
          <w:rFonts w:ascii="Century Gothic" w:hAnsi="Century Gothic"/>
        </w:rPr>
        <w:t xml:space="preserve">Lo anterior para evitar el factor de riesgo, que trae como consecuencia la </w:t>
      </w:r>
      <w:r w:rsidRPr="001C0512">
        <w:rPr>
          <w:rFonts w:ascii="Century Gothic" w:hAnsi="Century Gothic"/>
          <w:color w:val="000000" w:themeColor="text1"/>
        </w:rPr>
        <w:t xml:space="preserve">neumonía y en su caso, la muerte. </w:t>
      </w:r>
    </w:p>
    <w:p w14:paraId="02A3E966" w14:textId="77777777" w:rsidR="006B31B6" w:rsidRPr="001C0512" w:rsidRDefault="006B31B6" w:rsidP="006B31B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 w:themeColor="text1"/>
          <w:shd w:val="clear" w:color="auto" w:fill="FFFFFF"/>
        </w:rPr>
      </w:pPr>
      <w:r w:rsidRPr="001C0512">
        <w:rPr>
          <w:rFonts w:ascii="Century Gothic" w:hAnsi="Century Gothic" w:cs="Arial"/>
          <w:color w:val="000000" w:themeColor="text1"/>
          <w:shd w:val="clear" w:color="auto" w:fill="FFFFFF"/>
        </w:rPr>
        <w:t xml:space="preserve">En el pasado informe del Gobierno Federal, </w:t>
      </w:r>
      <w:r w:rsidR="001C0512">
        <w:rPr>
          <w:rFonts w:ascii="Century Gothic" w:hAnsi="Century Gothic" w:cs="Arial"/>
          <w:color w:val="000000" w:themeColor="text1"/>
          <w:shd w:val="clear" w:color="auto" w:fill="FFFFFF"/>
        </w:rPr>
        <w:t xml:space="preserve">se </w:t>
      </w:r>
      <w:r w:rsidRPr="001C0512">
        <w:rPr>
          <w:rFonts w:ascii="Century Gothic" w:hAnsi="Century Gothic" w:cs="Arial"/>
          <w:color w:val="000000" w:themeColor="text1"/>
          <w:shd w:val="clear" w:color="auto" w:fill="FFFFFF"/>
        </w:rPr>
        <w:t>mencionó que del 1 de septiembre de 2018 al 30 de junio de 2019 se realizaron actividades para garantizar la equidad inmunológica de la población a través de la vacunación en toda la población, con énfasis en los menores de cinco años, adolescentes, embarazadas y adultos mayores. Sin embargo, los esfuerzos realizados para cumplir con el esquema de vacunación se vieron afectados por la situación internacional de abasto debido a problemas de producción de vacunas, lo que generó un retraso en la entrega y el desabasto de algunos biológicos para México.</w:t>
      </w:r>
      <w:r w:rsidR="001C0512">
        <w:rPr>
          <w:rFonts w:ascii="Century Gothic" w:hAnsi="Century Gothic" w:cs="Arial"/>
          <w:color w:val="000000" w:themeColor="text1"/>
          <w:shd w:val="clear" w:color="auto" w:fill="FFFFFF"/>
        </w:rPr>
        <w:t xml:space="preserve"> En la temporada invernal 2018-2019 se administraron en todo el país 2,419, 323 dosis de la vacuna contra la influenza estacional.</w:t>
      </w:r>
    </w:p>
    <w:p w14:paraId="653DB0F7" w14:textId="77777777" w:rsidR="006B31B6" w:rsidRPr="001C0512" w:rsidRDefault="006B31B6" w:rsidP="006B31B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 w:themeColor="text1"/>
          <w:shd w:val="clear" w:color="auto" w:fill="FFFFFF"/>
        </w:rPr>
      </w:pPr>
    </w:p>
    <w:p w14:paraId="0ABAD571" w14:textId="77777777" w:rsidR="00AA3686" w:rsidRDefault="006B31B6" w:rsidP="006B31B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 w:themeColor="text1"/>
          <w:shd w:val="clear" w:color="auto" w:fill="FFFFFF"/>
        </w:rPr>
      </w:pPr>
      <w:r w:rsidRPr="001C0512">
        <w:rPr>
          <w:rFonts w:ascii="Century Gothic" w:hAnsi="Century Gothic" w:cs="Arial"/>
          <w:color w:val="000000" w:themeColor="text1"/>
          <w:shd w:val="clear" w:color="auto" w:fill="FFFFFF"/>
        </w:rPr>
        <w:t>Dado lo anterior, para el cierre de 2018, la cobertura sectorial del esquema completo de vacunación en población menor de un año de edad fue de 81.3%, y en población de un año de edad fue de 88.9%. De octubre de 2018 a marzo de 2019, se realizó la campaña de vacunación contra influenza estacional, en la que se aplicaron más de 32 millones de dosis.</w:t>
      </w:r>
      <w:r w:rsidR="001C0512">
        <w:rPr>
          <w:rFonts w:ascii="Century Gothic" w:hAnsi="Century Gothic" w:cs="Arial"/>
          <w:color w:val="000000" w:themeColor="text1"/>
          <w:shd w:val="clear" w:color="auto" w:fill="FFFFFF"/>
        </w:rPr>
        <w:t xml:space="preserve"> </w:t>
      </w:r>
      <w:r w:rsidR="00AA3686">
        <w:rPr>
          <w:rFonts w:ascii="Century Gothic" w:hAnsi="Century Gothic" w:cs="Arial"/>
          <w:color w:val="000000" w:themeColor="text1"/>
          <w:shd w:val="clear" w:color="auto" w:fill="FFFFFF"/>
        </w:rPr>
        <w:t xml:space="preserve"> </w:t>
      </w:r>
    </w:p>
    <w:p w14:paraId="3C9B1523" w14:textId="77777777" w:rsidR="00AA3686" w:rsidRDefault="00AA3686" w:rsidP="006B31B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 w:themeColor="text1"/>
          <w:shd w:val="clear" w:color="auto" w:fill="FFFFFF"/>
        </w:rPr>
      </w:pPr>
    </w:p>
    <w:p w14:paraId="2486A553" w14:textId="77777777" w:rsidR="009C7553" w:rsidRDefault="00AA3686" w:rsidP="006B31B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 w:themeColor="text1"/>
          <w:shd w:val="clear" w:color="auto" w:fill="FFFFFF"/>
        </w:rPr>
      </w:pPr>
      <w:r w:rsidRPr="00AA3686">
        <w:rPr>
          <w:rFonts w:ascii="Century Gothic" w:hAnsi="Century Gothic" w:cs="Arial"/>
          <w:color w:val="000000" w:themeColor="text1"/>
          <w:shd w:val="clear" w:color="auto" w:fill="FFFFFF"/>
        </w:rPr>
        <w:t xml:space="preserve">De acuerdo a los datos del Informe Semanal de la Temporada de Influenza Estacional desde la semana 40 a 52 del 2019, es decir el último trimestre del año </w:t>
      </w:r>
      <w:r w:rsidR="009C7553">
        <w:rPr>
          <w:rFonts w:ascii="Century Gothic" w:hAnsi="Century Gothic" w:cs="Arial"/>
          <w:color w:val="000000" w:themeColor="text1"/>
          <w:shd w:val="clear" w:color="auto" w:fill="FFFFFF"/>
        </w:rPr>
        <w:t>anterior se registraron má</w:t>
      </w:r>
      <w:r w:rsidRPr="00AA3686">
        <w:rPr>
          <w:rFonts w:ascii="Century Gothic" w:hAnsi="Century Gothic" w:cs="Arial"/>
          <w:color w:val="000000" w:themeColor="text1"/>
          <w:shd w:val="clear" w:color="auto" w:fill="FFFFFF"/>
        </w:rPr>
        <w:t>s de 14 mil casos de enfermedad tipo de influenza en todo el paso. En Puebla se registraron 558 casos de esta enfermedad, durante el mismo periodo. Ocupando el 7 lugar</w:t>
      </w:r>
      <w:r w:rsidR="009C7553">
        <w:rPr>
          <w:rFonts w:ascii="Century Gothic" w:hAnsi="Century Gothic" w:cs="Arial"/>
          <w:color w:val="000000" w:themeColor="text1"/>
          <w:shd w:val="clear" w:color="auto" w:fill="FFFFFF"/>
        </w:rPr>
        <w:t xml:space="preserve">. </w:t>
      </w:r>
    </w:p>
    <w:p w14:paraId="5C81312D" w14:textId="77777777" w:rsidR="006B31B6" w:rsidRPr="001C0512" w:rsidRDefault="009C7553" w:rsidP="006B31B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 w:themeColor="text1"/>
          <w:shd w:val="clear" w:color="auto" w:fill="FFFFFF"/>
        </w:rPr>
      </w:pPr>
      <w:r>
        <w:rPr>
          <w:rFonts w:ascii="Century Gothic" w:hAnsi="Century Gothic" w:cs="Arial"/>
          <w:color w:val="000000" w:themeColor="text1"/>
          <w:shd w:val="clear" w:color="auto" w:fill="FFFFFF"/>
        </w:rPr>
        <w:lastRenderedPageBreak/>
        <w:t xml:space="preserve">Caso similar, lo que </w:t>
      </w:r>
      <w:r w:rsidRPr="009C7553">
        <w:rPr>
          <w:rFonts w:ascii="Century Gothic" w:hAnsi="Century Gothic" w:cs="Arial"/>
          <w:color w:val="000000" w:themeColor="text1"/>
          <w:shd w:val="clear" w:color="auto" w:fill="FFFFFF"/>
        </w:rPr>
        <w:t>informó la Secretaria de Salud Federal a través del Panorama Epidemiológico de Dengue 2019, se confirmaron 1,365 casos confirmados de dengue en el Estado.</w:t>
      </w:r>
    </w:p>
    <w:p w14:paraId="634864E3" w14:textId="77777777" w:rsidR="0034161B" w:rsidRPr="0034161B" w:rsidRDefault="00CB70DB" w:rsidP="0034161B">
      <w:pPr>
        <w:pStyle w:val="NormalWeb"/>
        <w:shd w:val="clear" w:color="auto" w:fill="FFFFFF"/>
        <w:spacing w:before="240" w:beforeAutospacing="0" w:after="390" w:afterAutospacing="0" w:line="465" w:lineRule="atLeast"/>
        <w:jc w:val="both"/>
        <w:rPr>
          <w:rFonts w:ascii="Century Gothic" w:hAnsi="Century Gothic"/>
          <w:sz w:val="22"/>
          <w:szCs w:val="22"/>
        </w:rPr>
      </w:pPr>
      <w:r w:rsidRPr="0034161B">
        <w:rPr>
          <w:rFonts w:ascii="Century Gothic" w:hAnsi="Century Gothic"/>
          <w:sz w:val="22"/>
          <w:szCs w:val="22"/>
        </w:rPr>
        <w:t>Ante</w:t>
      </w:r>
      <w:r w:rsidR="006B31B6">
        <w:rPr>
          <w:rFonts w:ascii="Century Gothic" w:hAnsi="Century Gothic"/>
          <w:sz w:val="22"/>
          <w:szCs w:val="22"/>
        </w:rPr>
        <w:t xml:space="preserve">lo antes expuesto, </w:t>
      </w:r>
      <w:r w:rsidR="001C0512">
        <w:rPr>
          <w:rFonts w:ascii="Century Gothic" w:hAnsi="Century Gothic"/>
          <w:sz w:val="22"/>
          <w:szCs w:val="22"/>
        </w:rPr>
        <w:t>estos datos son generales en el territorio mexicano, lo que nos obliga a solicitar a la autoridad estatal, el reporte anual del estado, derivado del informe nacional. L</w:t>
      </w:r>
      <w:r w:rsidR="0034161B" w:rsidRPr="0034161B">
        <w:rPr>
          <w:rFonts w:ascii="Century Gothic" w:hAnsi="Century Gothic"/>
          <w:sz w:val="22"/>
          <w:szCs w:val="22"/>
        </w:rPr>
        <w:t>a vacuna contra la influenza es gratuita, eficaz y segura, y es la mejor medida preventiva para protegerse. Sus efectos son menores en comparación con las posibles complicaciones si se adquiere la enfermedad y la protección del biológico se logra 15 días después de su aplicación.</w:t>
      </w:r>
    </w:p>
    <w:p w14:paraId="6B5334A0" w14:textId="77777777" w:rsidR="00CB70DB" w:rsidRDefault="00CB70DB" w:rsidP="00CB70D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lo anteriormente expuesto, es que sometemos a la Asamblea el siguiente:</w:t>
      </w:r>
    </w:p>
    <w:p w14:paraId="7216C7FF" w14:textId="77777777" w:rsidR="00CB70DB" w:rsidRDefault="00CB70DB" w:rsidP="00CB70DB">
      <w:pPr>
        <w:spacing w:line="360" w:lineRule="auto"/>
        <w:jc w:val="center"/>
        <w:rPr>
          <w:rFonts w:ascii="Century Gothic" w:hAnsi="Century Gothic"/>
          <w:b/>
        </w:rPr>
      </w:pPr>
    </w:p>
    <w:p w14:paraId="6F0374CD" w14:textId="77777777" w:rsidR="00CB70DB" w:rsidRDefault="00CB70DB" w:rsidP="00CB70DB">
      <w:pPr>
        <w:spacing w:line="360" w:lineRule="auto"/>
        <w:jc w:val="center"/>
        <w:rPr>
          <w:rFonts w:ascii="Century Gothic" w:hAnsi="Century Gothic"/>
          <w:b/>
        </w:rPr>
      </w:pPr>
      <w:r w:rsidRPr="00CB70DB">
        <w:rPr>
          <w:rFonts w:ascii="Century Gothic" w:hAnsi="Century Gothic"/>
          <w:b/>
        </w:rPr>
        <w:t>PUNTO DE ACUERDO</w:t>
      </w:r>
    </w:p>
    <w:p w14:paraId="72A4BD5A" w14:textId="77777777" w:rsidR="00CB70DB" w:rsidRDefault="007A6918" w:rsidP="00CB70D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PRIMERO</w:t>
      </w:r>
      <w:r w:rsidR="00CB70DB">
        <w:rPr>
          <w:rFonts w:ascii="Century Gothic" w:hAnsi="Century Gothic"/>
          <w:b/>
        </w:rPr>
        <w:t xml:space="preserve">.- </w:t>
      </w:r>
      <w:r w:rsidR="00CB70DB">
        <w:rPr>
          <w:rFonts w:ascii="Century Gothic" w:hAnsi="Century Gothic"/>
        </w:rPr>
        <w:t xml:space="preserve">Se exhorta a la Secretaria de Salud del Estado, a que informe a esta Soberanía, la estrategia de aplicación y el número de vacunas garantizadas contra la influenza estacional </w:t>
      </w:r>
      <w:r w:rsidR="00A15005">
        <w:rPr>
          <w:rFonts w:ascii="Century Gothic" w:hAnsi="Century Gothic"/>
        </w:rPr>
        <w:t xml:space="preserve">para este periodo invernal </w:t>
      </w:r>
      <w:r w:rsidR="00CB70DB">
        <w:rPr>
          <w:rFonts w:ascii="Century Gothic" w:hAnsi="Century Gothic"/>
        </w:rPr>
        <w:t>2020, para los pobladores de Estado de Puebla.</w:t>
      </w:r>
    </w:p>
    <w:p w14:paraId="350120A7" w14:textId="77777777" w:rsidR="007A6918" w:rsidRDefault="007A6918" w:rsidP="00CB70D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SEGUNDO.- </w:t>
      </w:r>
      <w:r>
        <w:rPr>
          <w:rFonts w:ascii="Century Gothic" w:hAnsi="Century Gothic"/>
        </w:rPr>
        <w:t>Se exhorta a la Secretaria de Salud del Estado, a que informe a esta Soberanía, la estrategia de aplicación y el número de medicamentos garantizados, para los pobladores de Estado de Puebla, durante el presente año.</w:t>
      </w:r>
    </w:p>
    <w:p w14:paraId="074E835C" w14:textId="77777777" w:rsidR="006B31B6" w:rsidRDefault="006B31B6" w:rsidP="00CB70DB">
      <w:pPr>
        <w:spacing w:line="360" w:lineRule="auto"/>
        <w:jc w:val="both"/>
        <w:rPr>
          <w:rFonts w:ascii="Century Gothic" w:hAnsi="Century Gothic"/>
        </w:rPr>
      </w:pPr>
    </w:p>
    <w:p w14:paraId="6A1207FB" w14:textId="77777777" w:rsidR="001C0512" w:rsidRDefault="001C0512" w:rsidP="00CB70DB">
      <w:pPr>
        <w:spacing w:line="360" w:lineRule="auto"/>
        <w:jc w:val="both"/>
        <w:rPr>
          <w:rFonts w:ascii="Century Gothic" w:hAnsi="Century Gothic"/>
        </w:rPr>
      </w:pPr>
    </w:p>
    <w:p w14:paraId="50C924CA" w14:textId="77777777" w:rsidR="001C0512" w:rsidRDefault="001C0512" w:rsidP="00CB70DB">
      <w:pPr>
        <w:spacing w:line="360" w:lineRule="auto"/>
        <w:jc w:val="both"/>
        <w:rPr>
          <w:rFonts w:ascii="Century Gothic" w:hAnsi="Century Gothic"/>
        </w:rPr>
      </w:pPr>
    </w:p>
    <w:p w14:paraId="4F9535D8" w14:textId="77777777" w:rsidR="001C0512" w:rsidRDefault="001C0512" w:rsidP="00CB70DB">
      <w:pPr>
        <w:spacing w:line="360" w:lineRule="auto"/>
        <w:jc w:val="both"/>
        <w:rPr>
          <w:rFonts w:ascii="Century Gothic" w:hAnsi="Century Gothic"/>
        </w:rPr>
      </w:pPr>
    </w:p>
    <w:p w14:paraId="2A3F7EDB" w14:textId="77777777" w:rsidR="00676E24" w:rsidRPr="00676E24" w:rsidRDefault="00676E24" w:rsidP="00676E24">
      <w:pPr>
        <w:spacing w:after="0" w:line="360" w:lineRule="auto"/>
        <w:jc w:val="center"/>
        <w:rPr>
          <w:rFonts w:ascii="Century Gothic" w:hAnsi="Century Gothic"/>
          <w:b/>
        </w:rPr>
      </w:pPr>
      <w:r w:rsidRPr="00676E24">
        <w:rPr>
          <w:rFonts w:ascii="Century Gothic" w:hAnsi="Century Gothic"/>
          <w:b/>
        </w:rPr>
        <w:lastRenderedPageBreak/>
        <w:t>A T E N T A M E N T E</w:t>
      </w:r>
    </w:p>
    <w:p w14:paraId="60F253CD" w14:textId="77777777" w:rsidR="00676E24" w:rsidRPr="00676E24" w:rsidRDefault="00676E24" w:rsidP="00676E24">
      <w:pPr>
        <w:spacing w:after="0" w:line="360" w:lineRule="auto"/>
        <w:jc w:val="center"/>
        <w:rPr>
          <w:rFonts w:ascii="Century Gothic" w:hAnsi="Century Gothic"/>
          <w:b/>
        </w:rPr>
      </w:pPr>
      <w:r w:rsidRPr="00676E24">
        <w:rPr>
          <w:rFonts w:ascii="Century Gothic" w:hAnsi="Century Gothic"/>
          <w:b/>
        </w:rPr>
        <w:t xml:space="preserve">CUATRO VECES </w:t>
      </w:r>
      <w:r w:rsidR="007A6918">
        <w:rPr>
          <w:rFonts w:ascii="Century Gothic" w:hAnsi="Century Gothic"/>
          <w:b/>
        </w:rPr>
        <w:t>HEROICA PUEBLA DE ZARAGOZA, A 14</w:t>
      </w:r>
      <w:r w:rsidR="00CB70DB">
        <w:rPr>
          <w:rFonts w:ascii="Century Gothic" w:hAnsi="Century Gothic"/>
          <w:b/>
        </w:rPr>
        <w:t xml:space="preserve"> DE </w:t>
      </w:r>
      <w:r w:rsidR="00A15005">
        <w:rPr>
          <w:rFonts w:ascii="Century Gothic" w:hAnsi="Century Gothic"/>
          <w:b/>
        </w:rPr>
        <w:t>ENERO</w:t>
      </w:r>
      <w:r w:rsidR="00AE52C4">
        <w:rPr>
          <w:rFonts w:ascii="Century Gothic" w:hAnsi="Century Gothic"/>
          <w:b/>
        </w:rPr>
        <w:t xml:space="preserve"> </w:t>
      </w:r>
      <w:r w:rsidR="00A15005">
        <w:rPr>
          <w:rFonts w:ascii="Century Gothic" w:hAnsi="Century Gothic"/>
          <w:b/>
        </w:rPr>
        <w:t>DE 2020</w:t>
      </w:r>
    </w:p>
    <w:p w14:paraId="4B85BACF" w14:textId="77777777" w:rsidR="00676E24" w:rsidRDefault="00676E24" w:rsidP="00676E24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645C8125" w14:textId="77777777" w:rsidR="00676E24" w:rsidRDefault="00676E24" w:rsidP="00676E24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4BD36280" w14:textId="77777777" w:rsidR="00676E24" w:rsidRPr="00676E24" w:rsidRDefault="00676E24" w:rsidP="00676E24">
      <w:pPr>
        <w:spacing w:after="0" w:line="360" w:lineRule="auto"/>
        <w:jc w:val="center"/>
        <w:rPr>
          <w:rFonts w:ascii="Century Gothic" w:hAnsi="Century Gothic"/>
          <w:b/>
        </w:rPr>
      </w:pPr>
      <w:r w:rsidRPr="00676E24">
        <w:rPr>
          <w:rFonts w:ascii="Century Gothic" w:hAnsi="Century Gothic"/>
          <w:b/>
        </w:rPr>
        <w:t>DIP. LILIANA LUNA AGUIRRE</w:t>
      </w:r>
    </w:p>
    <w:p w14:paraId="07769E39" w14:textId="77777777" w:rsidR="00676E24" w:rsidRPr="00676E24" w:rsidRDefault="00676E24" w:rsidP="00676E24">
      <w:pPr>
        <w:spacing w:after="0" w:line="360" w:lineRule="auto"/>
        <w:jc w:val="center"/>
        <w:rPr>
          <w:rFonts w:ascii="Century Gothic" w:hAnsi="Century Gothic"/>
          <w:b/>
        </w:rPr>
      </w:pPr>
      <w:r w:rsidRPr="00676E24">
        <w:rPr>
          <w:rFonts w:ascii="Century Gothic" w:hAnsi="Century Gothic"/>
          <w:b/>
        </w:rPr>
        <w:t>INTEGRANTE DEL GRUPO LEGISLATIVO DEL PARTIDO DE LA REVOLUCIÓN DEMOCRÁTICA</w:t>
      </w:r>
    </w:p>
    <w:p w14:paraId="6CA09C63" w14:textId="77777777" w:rsidR="00676E24" w:rsidRPr="00676E24" w:rsidRDefault="00676E24" w:rsidP="00676E24">
      <w:pPr>
        <w:spacing w:after="0" w:line="360" w:lineRule="auto"/>
        <w:jc w:val="both"/>
        <w:rPr>
          <w:rFonts w:ascii="Century Gothic" w:hAnsi="Century Gothic"/>
        </w:rPr>
      </w:pPr>
    </w:p>
    <w:p w14:paraId="689C7E32" w14:textId="77777777" w:rsidR="00C14FD4" w:rsidRDefault="00C14FD4" w:rsidP="00C14FD4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56A2244C" w14:textId="77777777" w:rsidR="00676E24" w:rsidRPr="00676E24" w:rsidRDefault="00676E24" w:rsidP="00C14FD4">
      <w:pPr>
        <w:spacing w:after="0" w:line="360" w:lineRule="auto"/>
        <w:jc w:val="center"/>
        <w:rPr>
          <w:rFonts w:ascii="Century Gothic" w:hAnsi="Century Gothic"/>
          <w:b/>
        </w:rPr>
      </w:pPr>
      <w:r w:rsidRPr="00676E24">
        <w:rPr>
          <w:rFonts w:ascii="Century Gothic" w:hAnsi="Century Gothic"/>
          <w:b/>
        </w:rPr>
        <w:t>DIP. JOSÉ ARMANDO GARCÍA AVENDAÑO</w:t>
      </w:r>
    </w:p>
    <w:p w14:paraId="2557532C" w14:textId="77777777" w:rsidR="00676E24" w:rsidRPr="00676E24" w:rsidRDefault="00676E24" w:rsidP="00C14FD4">
      <w:pPr>
        <w:spacing w:after="0" w:line="360" w:lineRule="auto"/>
        <w:jc w:val="center"/>
        <w:rPr>
          <w:rFonts w:ascii="Century Gothic" w:hAnsi="Century Gothic"/>
          <w:b/>
        </w:rPr>
      </w:pPr>
      <w:r w:rsidRPr="00676E24">
        <w:rPr>
          <w:rFonts w:ascii="Century Gothic" w:hAnsi="Century Gothic"/>
          <w:b/>
        </w:rPr>
        <w:t>COORDINADOR DEL GRUPO LEGISLATIVO DEL PARTIDO DE LA REVOLUCIÓN DEMOCRÁTICA</w:t>
      </w:r>
    </w:p>
    <w:p w14:paraId="221E977A" w14:textId="77777777" w:rsidR="00676E24" w:rsidRPr="00676E24" w:rsidRDefault="00676E24" w:rsidP="00C14FD4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0AA5EAA8" w14:textId="77777777" w:rsidR="00C14FD4" w:rsidRDefault="00C14FD4" w:rsidP="00C14FD4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1A27DF83" w14:textId="77777777" w:rsidR="00676E24" w:rsidRPr="00676E24" w:rsidRDefault="00676E24" w:rsidP="00C14FD4">
      <w:pPr>
        <w:spacing w:after="0" w:line="360" w:lineRule="auto"/>
        <w:jc w:val="center"/>
        <w:rPr>
          <w:rFonts w:ascii="Century Gothic" w:hAnsi="Century Gothic"/>
          <w:b/>
        </w:rPr>
      </w:pPr>
      <w:r w:rsidRPr="00676E24">
        <w:rPr>
          <w:rFonts w:ascii="Century Gothic" w:hAnsi="Century Gothic"/>
          <w:b/>
        </w:rPr>
        <w:t>DIP. CARLOS ALBERTO MORALES ALVAREZ.</w:t>
      </w:r>
    </w:p>
    <w:p w14:paraId="06B66C13" w14:textId="77777777" w:rsidR="00676E24" w:rsidRPr="00676E24" w:rsidRDefault="00676E24" w:rsidP="00C14FD4">
      <w:pPr>
        <w:spacing w:after="0" w:line="360" w:lineRule="auto"/>
        <w:jc w:val="center"/>
        <w:rPr>
          <w:rFonts w:ascii="Century Gothic" w:hAnsi="Century Gothic"/>
          <w:b/>
        </w:rPr>
      </w:pPr>
      <w:r w:rsidRPr="00676E24">
        <w:rPr>
          <w:rFonts w:ascii="Century Gothic" w:hAnsi="Century Gothic"/>
          <w:b/>
        </w:rPr>
        <w:t>COORDINADOR DEL GRUPO LEGISLATIVO DEL PARTIDO MOVIMIENTO CIUDADANO.</w:t>
      </w:r>
    </w:p>
    <w:p w14:paraId="1F5CD352" w14:textId="77777777" w:rsidR="00676E24" w:rsidRPr="00676E24" w:rsidRDefault="00676E24" w:rsidP="00C14FD4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4723B007" w14:textId="77777777" w:rsidR="00C14FD4" w:rsidRDefault="00C14FD4" w:rsidP="00C14FD4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3F24E212" w14:textId="77777777" w:rsidR="00676E24" w:rsidRPr="00676E24" w:rsidRDefault="00676E24" w:rsidP="00C14FD4">
      <w:pPr>
        <w:spacing w:after="0" w:line="360" w:lineRule="auto"/>
        <w:jc w:val="center"/>
        <w:rPr>
          <w:rFonts w:ascii="Century Gothic" w:hAnsi="Century Gothic"/>
          <w:b/>
        </w:rPr>
      </w:pPr>
      <w:r w:rsidRPr="00676E24">
        <w:rPr>
          <w:rFonts w:ascii="Century Gothic" w:hAnsi="Century Gothic"/>
          <w:b/>
        </w:rPr>
        <w:t>DIP. ALEJANDRA GUADALUPE ESQUITÍN LASTIRI.</w:t>
      </w:r>
    </w:p>
    <w:p w14:paraId="0501AB1A" w14:textId="77777777" w:rsidR="00676E24" w:rsidRPr="00676E24" w:rsidRDefault="00676E24" w:rsidP="00C14FD4">
      <w:pPr>
        <w:spacing w:after="0" w:line="360" w:lineRule="auto"/>
        <w:jc w:val="center"/>
        <w:rPr>
          <w:rFonts w:ascii="Century Gothic" w:hAnsi="Century Gothic"/>
          <w:b/>
        </w:rPr>
      </w:pPr>
      <w:r w:rsidRPr="00676E24">
        <w:rPr>
          <w:rFonts w:ascii="Century Gothic" w:hAnsi="Century Gothic"/>
          <w:b/>
        </w:rPr>
        <w:t>INTEGRANTE DEL GRUPO LEGISLATIVO DEL PARTIDO MOVIMIENTO CIUDADANO.</w:t>
      </w:r>
    </w:p>
    <w:p w14:paraId="2C0DC0C4" w14:textId="77777777" w:rsidR="00676E24" w:rsidRPr="00676E24" w:rsidRDefault="00676E24" w:rsidP="00C14FD4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26A8DB26" w14:textId="77777777" w:rsidR="00C14FD4" w:rsidRDefault="00C14FD4" w:rsidP="00C14FD4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36EC0045" w14:textId="77777777" w:rsidR="00676E24" w:rsidRPr="00676E24" w:rsidRDefault="00676E24" w:rsidP="00C14FD4">
      <w:pPr>
        <w:spacing w:after="0" w:line="360" w:lineRule="auto"/>
        <w:jc w:val="center"/>
        <w:rPr>
          <w:rFonts w:ascii="Century Gothic" w:hAnsi="Century Gothic"/>
          <w:b/>
        </w:rPr>
      </w:pPr>
      <w:r w:rsidRPr="00676E24">
        <w:rPr>
          <w:rFonts w:ascii="Century Gothic" w:hAnsi="Century Gothic"/>
          <w:b/>
        </w:rPr>
        <w:t>DIP. URUVIEL GONZÁLEZ VIEYRA.</w:t>
      </w:r>
    </w:p>
    <w:p w14:paraId="16D32B24" w14:textId="77777777" w:rsidR="00676E24" w:rsidRDefault="00676E24" w:rsidP="00C14FD4">
      <w:pPr>
        <w:spacing w:after="0" w:line="360" w:lineRule="auto"/>
        <w:jc w:val="center"/>
        <w:rPr>
          <w:rFonts w:ascii="Century Gothic" w:hAnsi="Century Gothic"/>
          <w:b/>
        </w:rPr>
      </w:pPr>
      <w:r w:rsidRPr="00676E24">
        <w:rPr>
          <w:rFonts w:ascii="Century Gothic" w:hAnsi="Century Gothic"/>
          <w:b/>
        </w:rPr>
        <w:t>REPRESENTANTE LEGISLATIVO DEL PARTIDO COMPROMISO POR PUEBLA.</w:t>
      </w:r>
    </w:p>
    <w:p w14:paraId="3E2AAFE9" w14:textId="77777777" w:rsidR="00C14FD4" w:rsidRDefault="00C14FD4" w:rsidP="00C14FD4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06AB6174" w14:textId="77777777" w:rsidR="00C14FD4" w:rsidRDefault="00C14FD4" w:rsidP="00C14FD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color w:val="333333"/>
          <w:sz w:val="18"/>
          <w:szCs w:val="18"/>
          <w:lang w:eastAsia="es-MX"/>
        </w:rPr>
      </w:pPr>
    </w:p>
    <w:p w14:paraId="77C65084" w14:textId="77777777" w:rsidR="00AE52C4" w:rsidRPr="00CB70DB" w:rsidRDefault="00AE52C4" w:rsidP="00C14FD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color w:val="333333"/>
          <w:sz w:val="18"/>
          <w:szCs w:val="18"/>
          <w:lang w:eastAsia="es-MX"/>
        </w:rPr>
      </w:pPr>
    </w:p>
    <w:p w14:paraId="0E0BCCB2" w14:textId="77777777" w:rsidR="00C14FD4" w:rsidRPr="005102AC" w:rsidRDefault="00CB70DB" w:rsidP="00CB70DB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5102AC">
        <w:rPr>
          <w:rFonts w:ascii="Century Gothic" w:eastAsia="Times New Roman" w:hAnsi="Century Gothic" w:cs="Arial"/>
          <w:b/>
          <w:color w:val="000000" w:themeColor="text1"/>
          <w:sz w:val="18"/>
          <w:szCs w:val="18"/>
          <w:lang w:eastAsia="es-MX"/>
        </w:rPr>
        <w:t xml:space="preserve">ESTA HOJA DE FIRMAS CORRESPONDE AL PUNTO DE ACUERDO POR </w:t>
      </w:r>
      <w:r w:rsidRPr="005102AC">
        <w:rPr>
          <w:rFonts w:ascii="Century Gothic" w:hAnsi="Century Gothic"/>
          <w:b/>
          <w:color w:val="000000" w:themeColor="text1"/>
          <w:sz w:val="18"/>
          <w:szCs w:val="18"/>
        </w:rPr>
        <w:t>SE EXHORTA A LA SECRETARIA DE SALUD DEL ESTADO, A QUE INFORME A ESTA SOBERANÍA</w:t>
      </w:r>
      <w:r w:rsidRPr="005102AC">
        <w:rPr>
          <w:rFonts w:ascii="Century Gothic" w:hAnsi="Century Gothic"/>
          <w:b/>
          <w:sz w:val="18"/>
          <w:szCs w:val="18"/>
        </w:rPr>
        <w:t>, LA ESTRATEGIA DE APLICACIÓN Y EL NÚMERO DE VACUNAS GARANTIZADAS CONTRA LA INFLUENZA ESTACIONAL PARA ESTE PERIODO INVERNAL 2019-2020, PARA LOS</w:t>
      </w:r>
      <w:r w:rsidR="007A6918">
        <w:rPr>
          <w:rFonts w:ascii="Century Gothic" w:hAnsi="Century Gothic"/>
          <w:b/>
          <w:sz w:val="18"/>
          <w:szCs w:val="18"/>
        </w:rPr>
        <w:t xml:space="preserve"> POBLADORES DE ESTADO DE PUEBLA, Y OTROS.</w:t>
      </w:r>
    </w:p>
    <w:sectPr w:rsidR="00C14FD4" w:rsidRPr="005102A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25E62" w14:textId="77777777" w:rsidR="0073115E" w:rsidRDefault="0073115E" w:rsidP="00676E24">
      <w:pPr>
        <w:spacing w:after="0" w:line="240" w:lineRule="auto"/>
      </w:pPr>
      <w:r>
        <w:separator/>
      </w:r>
    </w:p>
  </w:endnote>
  <w:endnote w:type="continuationSeparator" w:id="0">
    <w:p w14:paraId="0551ADDA" w14:textId="77777777" w:rsidR="0073115E" w:rsidRDefault="0073115E" w:rsidP="006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75FC5" w14:textId="77777777" w:rsidR="0073115E" w:rsidRDefault="0073115E" w:rsidP="00676E24">
      <w:pPr>
        <w:spacing w:after="0" w:line="240" w:lineRule="auto"/>
      </w:pPr>
      <w:r>
        <w:separator/>
      </w:r>
    </w:p>
  </w:footnote>
  <w:footnote w:type="continuationSeparator" w:id="0">
    <w:p w14:paraId="43355846" w14:textId="77777777" w:rsidR="0073115E" w:rsidRDefault="0073115E" w:rsidP="0067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B760" w14:textId="77777777" w:rsidR="00676E24" w:rsidRDefault="00676E24">
    <w:pPr>
      <w:pStyle w:val="Encabezado"/>
    </w:pPr>
    <w:r>
      <w:rPr>
        <w:noProof/>
        <w:lang w:eastAsia="es-MX"/>
      </w:rPr>
      <w:drawing>
        <wp:inline distT="0" distB="0" distL="0" distR="0" wp14:anchorId="1D58C982" wp14:editId="72373ABE">
          <wp:extent cx="3009900" cy="1371600"/>
          <wp:effectExtent l="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45"/>
    <w:rsid w:val="00035810"/>
    <w:rsid w:val="0004520E"/>
    <w:rsid w:val="001222BE"/>
    <w:rsid w:val="001C0512"/>
    <w:rsid w:val="0029561C"/>
    <w:rsid w:val="003264E6"/>
    <w:rsid w:val="0034161B"/>
    <w:rsid w:val="003C3AB4"/>
    <w:rsid w:val="0041595D"/>
    <w:rsid w:val="004717EE"/>
    <w:rsid w:val="004D1675"/>
    <w:rsid w:val="005102AC"/>
    <w:rsid w:val="005528C5"/>
    <w:rsid w:val="00596E52"/>
    <w:rsid w:val="00672052"/>
    <w:rsid w:val="00676E24"/>
    <w:rsid w:val="006B31B6"/>
    <w:rsid w:val="00701BB8"/>
    <w:rsid w:val="0073115E"/>
    <w:rsid w:val="00777DEB"/>
    <w:rsid w:val="007A6918"/>
    <w:rsid w:val="009546A7"/>
    <w:rsid w:val="009C7553"/>
    <w:rsid w:val="009D79DA"/>
    <w:rsid w:val="009E0D77"/>
    <w:rsid w:val="00A15005"/>
    <w:rsid w:val="00AA3686"/>
    <w:rsid w:val="00AE52C4"/>
    <w:rsid w:val="00AE5F44"/>
    <w:rsid w:val="00B1471F"/>
    <w:rsid w:val="00BA6EBC"/>
    <w:rsid w:val="00C14FD4"/>
    <w:rsid w:val="00C50DB4"/>
    <w:rsid w:val="00CB70DB"/>
    <w:rsid w:val="00D248B9"/>
    <w:rsid w:val="00DF362B"/>
    <w:rsid w:val="00E030F6"/>
    <w:rsid w:val="00EF43F4"/>
    <w:rsid w:val="00FA6245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EAEC"/>
  <w15:chartTrackingRefBased/>
  <w15:docId w15:val="{812D12A7-1D1C-433E-A972-A6D2A36A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6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A6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A624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FA6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0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76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E24"/>
  </w:style>
  <w:style w:type="paragraph" w:styleId="Piedepgina">
    <w:name w:val="footer"/>
    <w:basedOn w:val="Normal"/>
    <w:link w:val="PiedepginaCar"/>
    <w:uiPriority w:val="99"/>
    <w:unhideWhenUsed/>
    <w:rsid w:val="00676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Aguirre</dc:creator>
  <cp:keywords/>
  <dc:description/>
  <cp:lastModifiedBy>Silvia Pérez Pérez</cp:lastModifiedBy>
  <cp:revision>2</cp:revision>
  <dcterms:created xsi:type="dcterms:W3CDTF">2020-01-13T19:00:00Z</dcterms:created>
  <dcterms:modified xsi:type="dcterms:W3CDTF">2020-01-13T19:00:00Z</dcterms:modified>
</cp:coreProperties>
</file>