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0D91" w14:textId="77777777" w:rsidR="007171DF" w:rsidRDefault="009F79EB">
      <w:pPr>
        <w:spacing w:after="0" w:line="360" w:lineRule="auto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sz w:val="24"/>
          <w:szCs w:val="24"/>
        </w:rPr>
        <w:t>DIPUTADOS INTEGRANTES DE LA MESA</w:t>
      </w:r>
    </w:p>
    <w:p w14:paraId="23002954" w14:textId="77777777" w:rsidR="007171DF" w:rsidRDefault="009F79EB">
      <w:pPr>
        <w:spacing w:after="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DIRECTIVA DEL HONORABLE CONGRESO</w:t>
      </w:r>
    </w:p>
    <w:p w14:paraId="583E3117" w14:textId="77777777" w:rsidR="007171DF" w:rsidRDefault="009F79EB">
      <w:pPr>
        <w:spacing w:after="0"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DEL ESTADO LIBRE Y SOBERANO DE PUEBLA</w:t>
      </w:r>
    </w:p>
    <w:p w14:paraId="64EE1452" w14:textId="77777777" w:rsidR="007171DF" w:rsidRDefault="009F79EB">
      <w:pPr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 R E S E N T E </w:t>
      </w:r>
    </w:p>
    <w:p w14:paraId="1C8E8D3F" w14:textId="77777777" w:rsidR="007171DF" w:rsidRPr="00A67202" w:rsidRDefault="007171DF">
      <w:pPr>
        <w:spacing w:after="0" w:line="360" w:lineRule="auto"/>
        <w:rPr>
          <w:rFonts w:ascii="Tahoma" w:eastAsia="Tahoma" w:hAnsi="Tahoma" w:cs="Tahoma"/>
          <w:sz w:val="20"/>
          <w:szCs w:val="24"/>
        </w:rPr>
      </w:pPr>
    </w:p>
    <w:p w14:paraId="23CD5C3E" w14:textId="77777777" w:rsidR="007171DF" w:rsidRDefault="009F79EB">
      <w:pP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Los que suscriben Diputada Alejandra Guadalupe </w:t>
      </w:r>
      <w:proofErr w:type="spellStart"/>
      <w:r>
        <w:rPr>
          <w:rFonts w:ascii="Tahoma" w:eastAsia="Tahoma" w:hAnsi="Tahoma" w:cs="Tahoma"/>
          <w:sz w:val="24"/>
          <w:szCs w:val="24"/>
        </w:rPr>
        <w:t>Esquitín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Lastiri y Diputados Carlos Alberto Morales Álvarez, Integrante y Coordinador del Grupo Legislativo del Partido Movimiento Ciudadano; Liliana Luna Aguirre y José Armando García Avendaño, Coordinadora e Integrante del Grupo Legislativo del Partido </w:t>
      </w:r>
      <w:r w:rsidR="004D6810">
        <w:rPr>
          <w:rFonts w:ascii="Tahoma" w:eastAsia="Tahoma" w:hAnsi="Tahoma" w:cs="Tahoma"/>
          <w:sz w:val="24"/>
          <w:szCs w:val="24"/>
        </w:rPr>
        <w:t xml:space="preserve">de la Revolución Democrática; </w:t>
      </w:r>
      <w:proofErr w:type="spellStart"/>
      <w:r>
        <w:rPr>
          <w:rFonts w:ascii="Tahoma" w:eastAsia="Tahoma" w:hAnsi="Tahoma" w:cs="Tahoma"/>
          <w:sz w:val="24"/>
          <w:szCs w:val="24"/>
        </w:rPr>
        <w:t>Uruviel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González Vieyra, Representante Legislativo del Partido Compromiso por Puebla,</w:t>
      </w:r>
      <w:r w:rsidR="0094158E">
        <w:rPr>
          <w:rFonts w:ascii="Tahoma" w:eastAsia="Tahoma" w:hAnsi="Tahoma" w:cs="Tahoma"/>
          <w:sz w:val="24"/>
          <w:szCs w:val="24"/>
        </w:rPr>
        <w:t xml:space="preserve"> </w:t>
      </w:r>
      <w:r w:rsidR="0094158E" w:rsidRPr="0094158E">
        <w:rPr>
          <w:rFonts w:ascii="Tahoma" w:eastAsia="Tahoma" w:hAnsi="Tahoma" w:cs="Tahoma"/>
          <w:sz w:val="24"/>
          <w:szCs w:val="24"/>
        </w:rPr>
        <w:t>y Héctor Eduardo Alonso Granados, integrante de la Sexagésima Legislatura del Honorable Congreso del Estado</w:t>
      </w:r>
      <w:r>
        <w:rPr>
          <w:rFonts w:ascii="Tahoma" w:eastAsia="Tahoma" w:hAnsi="Tahoma" w:cs="Tahoma"/>
          <w:sz w:val="24"/>
          <w:szCs w:val="24"/>
        </w:rPr>
        <w:t>; con fundamento en lo dispuesto por los artículos 57 fracción I, 63 fracción II y 64 de la Constitución Política del Estado Libre y Soberano de Puebla, en relación a los numerales 44 fracción II, 134, 135, 136, 144 fracción II, 147 de la Ley Orgánica de este Poder Legislativo; y 120 fracción VI del Reglamento Interior del Honorable Congreso del Estado Libre y Soberano de Puebla, sometemos a consideración de esta Soberanía, el siguiente Punto de Acuerdo, al tenor de los siguientes:</w:t>
      </w:r>
    </w:p>
    <w:p w14:paraId="18586C66" w14:textId="77777777" w:rsidR="007171DF" w:rsidRDefault="007171DF">
      <w:pPr>
        <w:spacing w:after="0" w:line="360" w:lineRule="auto"/>
        <w:rPr>
          <w:rFonts w:ascii="Tahoma" w:eastAsia="Tahoma" w:hAnsi="Tahoma" w:cs="Tahoma"/>
          <w:sz w:val="24"/>
          <w:szCs w:val="24"/>
        </w:rPr>
      </w:pPr>
    </w:p>
    <w:p w14:paraId="13434F89" w14:textId="77777777" w:rsidR="007171DF" w:rsidRDefault="009F79EB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CONSIDERANDOS</w:t>
      </w:r>
    </w:p>
    <w:p w14:paraId="184F0361" w14:textId="77777777" w:rsidR="007171DF" w:rsidRDefault="007171DF">
      <w:pPr>
        <w:spacing w:after="0" w:line="360" w:lineRule="auto"/>
        <w:rPr>
          <w:rFonts w:ascii="Tahoma" w:eastAsia="Tahoma" w:hAnsi="Tahoma" w:cs="Tahoma"/>
          <w:sz w:val="24"/>
          <w:szCs w:val="24"/>
        </w:rPr>
      </w:pPr>
    </w:p>
    <w:p w14:paraId="2A415417" w14:textId="77777777" w:rsidR="00FD69D9" w:rsidRDefault="00FD69D9" w:rsidP="00FD6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FD69D9">
        <w:rPr>
          <w:rFonts w:ascii="Tahoma" w:eastAsia="Tahoma" w:hAnsi="Tahoma" w:cs="Tahoma"/>
          <w:b/>
          <w:color w:val="000000"/>
          <w:sz w:val="24"/>
          <w:szCs w:val="24"/>
        </w:rPr>
        <w:t>I.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Las políticas de prevención del delito, son el mecanismo idóneo para reforzar y brindar mayor seguridad a la población. Parte de los esfuerzos en materia de seguridad pública deben ir enfocados a este fin</w:t>
      </w:r>
      <w:r w:rsidR="009F79EB">
        <w:rPr>
          <w:rFonts w:ascii="Tahoma" w:eastAsia="Tahoma" w:hAnsi="Tahoma" w:cs="Tahoma"/>
          <w:sz w:val="24"/>
          <w:szCs w:val="24"/>
        </w:rPr>
        <w:t>.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A5137E">
        <w:rPr>
          <w:rFonts w:ascii="Tahoma" w:eastAsia="Tahoma" w:hAnsi="Tahoma" w:cs="Tahoma"/>
          <w:color w:val="000000"/>
          <w:sz w:val="24"/>
          <w:szCs w:val="24"/>
        </w:rPr>
        <w:t>A</w:t>
      </w:r>
      <w:r w:rsidR="003D4459">
        <w:rPr>
          <w:rFonts w:ascii="Tahoma" w:eastAsia="Tahoma" w:hAnsi="Tahoma" w:cs="Tahoma"/>
          <w:color w:val="000000"/>
          <w:sz w:val="24"/>
          <w:szCs w:val="24"/>
        </w:rPr>
        <w:t xml:space="preserve"> mediano y</w:t>
      </w:r>
      <w:r w:rsidR="00A5137E">
        <w:rPr>
          <w:rFonts w:ascii="Tahoma" w:eastAsia="Tahoma" w:hAnsi="Tahoma" w:cs="Tahoma"/>
          <w:color w:val="000000"/>
          <w:sz w:val="24"/>
          <w:szCs w:val="24"/>
        </w:rPr>
        <w:t xml:space="preserve"> largo plazo,</w:t>
      </w:r>
      <w:r w:rsidR="003D4459">
        <w:rPr>
          <w:rFonts w:ascii="Tahoma" w:eastAsia="Tahoma" w:hAnsi="Tahoma" w:cs="Tahoma"/>
          <w:color w:val="000000"/>
          <w:sz w:val="24"/>
          <w:szCs w:val="24"/>
        </w:rPr>
        <w:t xml:space="preserve"> a través de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acciones preventivas </w:t>
      </w:r>
      <w:r w:rsidR="003D4459">
        <w:rPr>
          <w:rFonts w:ascii="Tahoma" w:eastAsia="Tahoma" w:hAnsi="Tahoma" w:cs="Tahoma"/>
          <w:color w:val="000000"/>
          <w:sz w:val="24"/>
          <w:szCs w:val="24"/>
        </w:rPr>
        <w:t xml:space="preserve">se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garantiza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4500BB">
        <w:rPr>
          <w:rFonts w:ascii="Tahoma" w:eastAsia="Tahoma" w:hAnsi="Tahoma" w:cs="Tahoma"/>
          <w:color w:val="000000"/>
          <w:sz w:val="24"/>
          <w:szCs w:val="24"/>
        </w:rPr>
        <w:t>de forma más efectiva</w:t>
      </w:r>
      <w:r w:rsidR="003D4459">
        <w:rPr>
          <w:rFonts w:ascii="Tahoma" w:eastAsia="Tahoma" w:hAnsi="Tahoma" w:cs="Tahoma"/>
          <w:color w:val="000000"/>
          <w:sz w:val="24"/>
          <w:szCs w:val="24"/>
        </w:rPr>
        <w:t>,</w:t>
      </w:r>
      <w:r w:rsidR="004500B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la seguridad de </w:t>
      </w:r>
      <w:r w:rsidR="003D4459">
        <w:rPr>
          <w:rFonts w:ascii="Tahoma" w:eastAsia="Tahoma" w:hAnsi="Tahoma" w:cs="Tahoma"/>
          <w:color w:val="000000"/>
          <w:sz w:val="24"/>
          <w:szCs w:val="24"/>
        </w:rPr>
        <w:t>la población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y el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lastRenderedPageBreak/>
        <w:t>orden público</w:t>
      </w:r>
      <w:r w:rsidR="00A5137E"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que</w:t>
      </w:r>
      <w:r w:rsidR="004500BB">
        <w:rPr>
          <w:rFonts w:ascii="Tahoma" w:eastAsia="Tahoma" w:hAnsi="Tahoma" w:cs="Tahoma"/>
          <w:color w:val="000000"/>
          <w:sz w:val="24"/>
          <w:szCs w:val="24"/>
        </w:rPr>
        <w:t xml:space="preserve"> mediante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las acciones reactivas del Estado</w:t>
      </w:r>
      <w:r w:rsidR="00AD372D">
        <w:rPr>
          <w:rFonts w:ascii="Tahoma" w:eastAsia="Tahoma" w:hAnsi="Tahoma" w:cs="Tahoma"/>
          <w:color w:val="000000"/>
          <w:sz w:val="24"/>
          <w:szCs w:val="24"/>
        </w:rPr>
        <w:t>,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al ejercer </w:t>
      </w:r>
      <w:r w:rsidR="00A5137E">
        <w:rPr>
          <w:rFonts w:ascii="Tahoma" w:eastAsia="Tahoma" w:hAnsi="Tahoma" w:cs="Tahoma"/>
          <w:color w:val="000000"/>
          <w:sz w:val="24"/>
          <w:szCs w:val="24"/>
        </w:rPr>
        <w:t>el uso de la fuerza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legal</w:t>
      </w:r>
      <w:r w:rsidR="00A5137E">
        <w:rPr>
          <w:rFonts w:ascii="Tahoma" w:eastAsia="Tahoma" w:hAnsi="Tahoma" w:cs="Tahoma"/>
          <w:color w:val="000000"/>
          <w:sz w:val="24"/>
          <w:szCs w:val="24"/>
        </w:rPr>
        <w:t>,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una vez que las personas han cometido el delito</w:t>
      </w:r>
      <w:r w:rsidR="009F79EB"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1"/>
      </w:r>
      <w:r w:rsidR="009F79EB">
        <w:rPr>
          <w:rFonts w:ascii="Tahoma" w:eastAsia="Tahoma" w:hAnsi="Tahoma" w:cs="Tahoma"/>
          <w:color w:val="000000"/>
          <w:sz w:val="24"/>
          <w:szCs w:val="24"/>
        </w:rPr>
        <w:t>.</w:t>
      </w:r>
    </w:p>
    <w:p w14:paraId="2743C482" w14:textId="77777777" w:rsidR="00FD69D9" w:rsidRPr="001C4D19" w:rsidRDefault="00FD69D9" w:rsidP="00FD6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4"/>
        </w:rPr>
      </w:pPr>
    </w:p>
    <w:p w14:paraId="6DD67402" w14:textId="77777777" w:rsidR="007171DF" w:rsidRDefault="009F79EB" w:rsidP="00FD6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Las </w:t>
      </w:r>
      <w:r w:rsidRPr="00864DFD">
        <w:rPr>
          <w:rFonts w:ascii="Tahoma" w:eastAsia="Tahoma" w:hAnsi="Tahoma" w:cs="Tahoma"/>
          <w:color w:val="000000"/>
          <w:sz w:val="24"/>
          <w:szCs w:val="24"/>
        </w:rPr>
        <w:t>fuentes delictivas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FE0FED">
        <w:rPr>
          <w:rFonts w:ascii="Tahoma" w:eastAsia="Tahoma" w:hAnsi="Tahoma" w:cs="Tahoma"/>
          <w:color w:val="000000"/>
          <w:sz w:val="24"/>
          <w:szCs w:val="24"/>
        </w:rPr>
        <w:t>son uno de los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factores de riesgo </w:t>
      </w:r>
      <w:r w:rsidR="00FE0FED">
        <w:rPr>
          <w:rFonts w:ascii="Tahoma" w:eastAsia="Tahoma" w:hAnsi="Tahoma" w:cs="Tahoma"/>
          <w:color w:val="000000"/>
          <w:sz w:val="24"/>
          <w:szCs w:val="24"/>
        </w:rPr>
        <w:t>que amenaza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directa</w:t>
      </w:r>
      <w:r w:rsidR="00FE0FED">
        <w:rPr>
          <w:rFonts w:ascii="Tahoma" w:eastAsia="Tahoma" w:hAnsi="Tahoma" w:cs="Tahoma"/>
          <w:color w:val="000000"/>
          <w:sz w:val="24"/>
          <w:szCs w:val="24"/>
        </w:rPr>
        <w:t>mente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al </w:t>
      </w:r>
      <w:r w:rsidR="00645B09">
        <w:rPr>
          <w:rFonts w:ascii="Tahoma" w:eastAsia="Tahoma" w:hAnsi="Tahoma" w:cs="Tahoma"/>
          <w:color w:val="000000"/>
          <w:sz w:val="24"/>
          <w:szCs w:val="24"/>
        </w:rPr>
        <w:t>estado de derecho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y la paz social, por lo que deben ser el foco de atención prioritaria en las estrategias de los responsables de la seguridad pública. El Estado y Municipios bajo su función Constitucional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2"/>
      </w:r>
      <w:r>
        <w:rPr>
          <w:rFonts w:ascii="Tahoma" w:eastAsia="Tahoma" w:hAnsi="Tahoma" w:cs="Tahoma"/>
          <w:color w:val="000000"/>
          <w:sz w:val="24"/>
          <w:szCs w:val="24"/>
        </w:rPr>
        <w:t>, deben actuar desde su esfera jurídica de competencia</w:t>
      </w:r>
      <w:r w:rsidR="00864DFD"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para disminuir todo índice delictivo.</w:t>
      </w:r>
    </w:p>
    <w:p w14:paraId="572D6730" w14:textId="77777777" w:rsidR="007171DF" w:rsidRPr="001C4D19" w:rsidRDefault="007171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ahoma" w:eastAsia="Tahoma" w:hAnsi="Tahoma" w:cs="Tahoma"/>
          <w:color w:val="000000"/>
          <w:sz w:val="20"/>
          <w:szCs w:val="24"/>
        </w:rPr>
      </w:pPr>
    </w:p>
    <w:p w14:paraId="03DC7D06" w14:textId="77777777" w:rsidR="007171DF" w:rsidRDefault="009F79EB" w:rsidP="00FD6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FD69D9">
        <w:rPr>
          <w:rFonts w:ascii="Tahoma" w:eastAsia="Tahoma" w:hAnsi="Tahoma" w:cs="Tahoma"/>
          <w:b/>
          <w:color w:val="000000"/>
          <w:sz w:val="24"/>
          <w:szCs w:val="24"/>
        </w:rPr>
        <w:t>II.</w:t>
      </w:r>
      <w:r w:rsidR="00FD69D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Ante el panorama de la Inseguridad Pública y la reciente creación de la Guard</w:t>
      </w:r>
      <w:r w:rsidR="003F36BA"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a Nacional, los Municipios no deben eludir responsabilidades y delegar el control de la delincuencia a otros órdenes de gobierno. Las acciones preventivas por parte de las autoridades locales son esenciales para tener éxito en la lucha contra l</w:t>
      </w:r>
      <w:r w:rsidR="00F1500E">
        <w:rPr>
          <w:rFonts w:ascii="Tahoma" w:eastAsia="Tahoma" w:hAnsi="Tahoma" w:cs="Tahoma"/>
          <w:color w:val="000000"/>
          <w:sz w:val="24"/>
          <w:szCs w:val="24"/>
        </w:rPr>
        <w:t>os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F1500E">
        <w:rPr>
          <w:rFonts w:ascii="Tahoma" w:eastAsia="Tahoma" w:hAnsi="Tahoma" w:cs="Tahoma"/>
          <w:color w:val="000000"/>
          <w:sz w:val="24"/>
          <w:szCs w:val="24"/>
        </w:rPr>
        <w:t>delitos</w:t>
      </w:r>
      <w:r w:rsidR="003F36BA">
        <w:rPr>
          <w:rFonts w:ascii="Tahoma" w:eastAsia="Tahoma" w:hAnsi="Tahoma" w:cs="Tahoma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3CB507D3" w14:textId="77777777" w:rsidR="007171DF" w:rsidRPr="001C4D19" w:rsidRDefault="007171DF" w:rsidP="00FD69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4"/>
        </w:rPr>
      </w:pPr>
      <w:bookmarkStart w:id="1" w:name="_gjdgxs" w:colFirst="0" w:colLast="0"/>
      <w:bookmarkEnd w:id="1"/>
    </w:p>
    <w:p w14:paraId="07FA0FC9" w14:textId="77777777" w:rsidR="001B28E0" w:rsidRPr="001C4D19" w:rsidRDefault="00843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FD69D9">
        <w:rPr>
          <w:rFonts w:ascii="Tahoma" w:eastAsia="Tahoma" w:hAnsi="Tahoma" w:cs="Tahoma"/>
          <w:color w:val="000000"/>
          <w:sz w:val="24"/>
          <w:szCs w:val="24"/>
        </w:rPr>
        <w:t>Además para lograr que l</w:t>
      </w:r>
      <w:r w:rsidR="009F79EB" w:rsidRPr="00FD69D9">
        <w:rPr>
          <w:rFonts w:ascii="Tahoma" w:eastAsia="Tahoma" w:hAnsi="Tahoma" w:cs="Tahoma"/>
          <w:color w:val="000000"/>
          <w:sz w:val="24"/>
          <w:szCs w:val="24"/>
        </w:rPr>
        <w:t>a política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de prevención social</w:t>
      </w:r>
      <w:r>
        <w:rPr>
          <w:rFonts w:ascii="Tahoma" w:eastAsia="Tahoma" w:hAnsi="Tahoma" w:cs="Tahoma"/>
          <w:color w:val="000000"/>
          <w:sz w:val="24"/>
          <w:szCs w:val="24"/>
        </w:rPr>
        <w:t>, sea el eje de articulación para disminuir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la violencia y del delito, las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estrategias, programas, proyectos y acciones deberán estar direccionados  para actuar de modo concreto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a partir de un conjunto de criterios y prioridades</w:t>
      </w:r>
      <w:r w:rsidR="000D5D48">
        <w:rPr>
          <w:rFonts w:ascii="Tahoma" w:eastAsia="Tahoma" w:hAnsi="Tahoma" w:cs="Tahoma"/>
          <w:color w:val="000000"/>
          <w:sz w:val="24"/>
          <w:szCs w:val="24"/>
        </w:rPr>
        <w:t xml:space="preserve">, los cuales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habrán de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decidirse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en función de los diagnósticos locales de cada comunidad o ciudad donde se pretenda intervenir</w:t>
      </w:r>
      <w:r w:rsidR="009F79EB"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3"/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reconociendo que estos problemas tienen múltiples causas; por lo que las acciones de identificación y atención, también </w:t>
      </w:r>
      <w:r>
        <w:rPr>
          <w:rFonts w:ascii="Tahoma" w:eastAsia="Tahoma" w:hAnsi="Tahoma" w:cs="Tahoma"/>
          <w:sz w:val="24"/>
          <w:szCs w:val="24"/>
        </w:rPr>
        <w:t>deben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tener un enfoque multidimensional y multisectorial en los diversos territorios. </w:t>
      </w:r>
    </w:p>
    <w:p w14:paraId="1F3C353D" w14:textId="77777777" w:rsidR="007171DF" w:rsidRDefault="00D952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Por lo que</w:t>
      </w:r>
      <w:r w:rsidR="00843CE0">
        <w:rPr>
          <w:rFonts w:ascii="Tahoma" w:eastAsia="Tahoma" w:hAnsi="Tahoma" w:cs="Tahoma"/>
          <w:color w:val="000000"/>
          <w:sz w:val="24"/>
          <w:szCs w:val="24"/>
        </w:rPr>
        <w:t xml:space="preserve">, las políticas públicas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para disminuir el índice delictivo, </w:t>
      </w:r>
      <w:r w:rsidR="00843CE0">
        <w:rPr>
          <w:rFonts w:ascii="Tahoma" w:eastAsia="Tahoma" w:hAnsi="Tahoma" w:cs="Tahoma"/>
          <w:color w:val="000000"/>
          <w:sz w:val="24"/>
          <w:szCs w:val="24"/>
        </w:rPr>
        <w:t xml:space="preserve">requieren de un enfoque integral, combatiendo desde varios frentes, </w:t>
      </w:r>
      <w:r w:rsidR="00843CE0" w:rsidRPr="00C0484F">
        <w:rPr>
          <w:rFonts w:ascii="Tahoma" w:eastAsia="Tahoma" w:hAnsi="Tahoma" w:cs="Tahoma"/>
          <w:color w:val="000000"/>
          <w:sz w:val="24"/>
          <w:szCs w:val="24"/>
        </w:rPr>
        <w:t xml:space="preserve">las fuentes o </w:t>
      </w:r>
      <w:r w:rsidR="00843CE0">
        <w:rPr>
          <w:rFonts w:ascii="Tahoma" w:eastAsia="Tahoma" w:hAnsi="Tahoma" w:cs="Tahoma"/>
          <w:color w:val="000000"/>
          <w:sz w:val="24"/>
          <w:szCs w:val="24"/>
        </w:rPr>
        <w:t>factores específicos que favorecen las actividades ilícitas, atendiendo a la máxima de prevención delictiva, lugar-delito.</w:t>
      </w:r>
    </w:p>
    <w:p w14:paraId="63D326DF" w14:textId="77777777" w:rsidR="000D5D48" w:rsidRPr="001C4D19" w:rsidRDefault="000D5D48" w:rsidP="001C4D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14"/>
          <w:szCs w:val="24"/>
        </w:rPr>
      </w:pPr>
    </w:p>
    <w:p w14:paraId="36871E51" w14:textId="77777777" w:rsidR="00F1500E" w:rsidRDefault="00345E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III</w:t>
      </w:r>
      <w:r w:rsidR="00F1500E" w:rsidRPr="00FD69D9">
        <w:rPr>
          <w:rFonts w:ascii="Tahoma" w:eastAsia="Tahoma" w:hAnsi="Tahoma" w:cs="Tahoma"/>
          <w:b/>
          <w:sz w:val="24"/>
          <w:szCs w:val="24"/>
        </w:rPr>
        <w:t>.</w:t>
      </w:r>
      <w:r w:rsidR="00F1500E">
        <w:rPr>
          <w:rFonts w:ascii="Tahoma" w:eastAsia="Tahoma" w:hAnsi="Tahoma" w:cs="Tahoma"/>
          <w:sz w:val="24"/>
          <w:szCs w:val="24"/>
        </w:rPr>
        <w:t xml:space="preserve"> </w:t>
      </w:r>
      <w:r w:rsidR="00D952A4">
        <w:rPr>
          <w:rFonts w:ascii="Tahoma" w:eastAsia="Tahoma" w:hAnsi="Tahoma" w:cs="Tahoma"/>
          <w:sz w:val="24"/>
          <w:szCs w:val="24"/>
        </w:rPr>
        <w:t>En este contexto, l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as zonas donde han proliferado establecimientos de venta y consumo de alcohol</w:t>
      </w:r>
      <w:r w:rsidR="00F1500E">
        <w:rPr>
          <w:rFonts w:ascii="Tahoma" w:eastAsia="Tahoma" w:hAnsi="Tahoma" w:cs="Tahoma"/>
          <w:color w:val="000000"/>
          <w:sz w:val="24"/>
          <w:szCs w:val="24"/>
        </w:rPr>
        <w:t>,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que van desde cantinas, centros nocturnos, discotecas, bares, sitios de </w:t>
      </w:r>
      <w:proofErr w:type="spellStart"/>
      <w:r w:rsidR="009F79EB">
        <w:rPr>
          <w:rFonts w:ascii="Tahoma" w:eastAsia="Tahoma" w:hAnsi="Tahoma" w:cs="Tahoma"/>
          <w:color w:val="000000"/>
          <w:sz w:val="24"/>
          <w:szCs w:val="24"/>
        </w:rPr>
        <w:t>strip</w:t>
      </w:r>
      <w:proofErr w:type="spellEnd"/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 w:rsidR="009F79EB">
        <w:rPr>
          <w:rFonts w:ascii="Tahoma" w:eastAsia="Tahoma" w:hAnsi="Tahoma" w:cs="Tahoma"/>
          <w:color w:val="000000"/>
          <w:sz w:val="24"/>
          <w:szCs w:val="24"/>
        </w:rPr>
        <w:t>tease</w:t>
      </w:r>
      <w:proofErr w:type="spellEnd"/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y table dance, entre otros</w:t>
      </w:r>
      <w:r w:rsidR="009F79EB">
        <w:rPr>
          <w:rFonts w:ascii="Tahoma" w:eastAsia="Tahoma" w:hAnsi="Tahoma" w:cs="Tahoma"/>
          <w:sz w:val="24"/>
          <w:szCs w:val="24"/>
        </w:rPr>
        <w:t xml:space="preserve">, son fuentes de actividad delictiva.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952A4">
        <w:rPr>
          <w:rFonts w:ascii="Tahoma" w:eastAsia="Tahoma" w:hAnsi="Tahoma" w:cs="Tahoma"/>
          <w:sz w:val="24"/>
          <w:szCs w:val="24"/>
        </w:rPr>
        <w:t>E</w:t>
      </w:r>
      <w:r w:rsidR="00961BA5">
        <w:rPr>
          <w:rFonts w:ascii="Tahoma" w:eastAsia="Tahoma" w:hAnsi="Tahoma" w:cs="Tahoma"/>
          <w:sz w:val="24"/>
          <w:szCs w:val="24"/>
        </w:rPr>
        <w:t>n los últimos años</w:t>
      </w:r>
      <w:r w:rsidR="00D952A4">
        <w:rPr>
          <w:rFonts w:ascii="Tahoma" w:eastAsia="Tahoma" w:hAnsi="Tahoma" w:cs="Tahoma"/>
          <w:sz w:val="24"/>
          <w:szCs w:val="24"/>
        </w:rPr>
        <w:t>, estos giros,</w:t>
      </w:r>
      <w:r w:rsidR="00961BA5">
        <w:rPr>
          <w:rFonts w:ascii="Tahoma" w:eastAsia="Tahoma" w:hAnsi="Tahoma" w:cs="Tahoma"/>
          <w:sz w:val="24"/>
          <w:szCs w:val="24"/>
        </w:rPr>
        <w:t xml:space="preserve"> se han convertido en puntos de alta peligrosidad, debido a que son sitios propicios para el crimen organizado, puesto que muchos de estos lugares ya empiezan operar de forma estructural y son centros de articulación de otros delitos</w:t>
      </w:r>
      <w:r w:rsidR="0084666B">
        <w:rPr>
          <w:rFonts w:ascii="Tahoma" w:eastAsia="Tahoma" w:hAnsi="Tahoma" w:cs="Tahoma"/>
          <w:sz w:val="24"/>
          <w:szCs w:val="24"/>
        </w:rPr>
        <w:t>, como la venta y distribución de drogas o la trata de personas</w:t>
      </w:r>
      <w:r w:rsidR="0084666B">
        <w:rPr>
          <w:rFonts w:ascii="Tahoma" w:eastAsia="Tahoma" w:hAnsi="Tahoma" w:cs="Tahoma"/>
          <w:sz w:val="24"/>
          <w:szCs w:val="24"/>
          <w:vertAlign w:val="superscript"/>
        </w:rPr>
        <w:footnoteReference w:id="4"/>
      </w:r>
      <w:r w:rsidR="0084666B">
        <w:rPr>
          <w:rFonts w:ascii="Tahoma" w:eastAsia="Tahoma" w:hAnsi="Tahoma" w:cs="Tahoma"/>
          <w:sz w:val="24"/>
          <w:szCs w:val="24"/>
        </w:rPr>
        <w:t>.</w:t>
      </w:r>
    </w:p>
    <w:p w14:paraId="78A2D314" w14:textId="77777777" w:rsidR="001A4B60" w:rsidRPr="001C4D19" w:rsidRDefault="001A4B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16"/>
          <w:szCs w:val="24"/>
        </w:rPr>
      </w:pPr>
    </w:p>
    <w:p w14:paraId="19889550" w14:textId="77777777" w:rsidR="007171DF" w:rsidRDefault="00DF344E" w:rsidP="00D868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De igual forma, en muchas ocasiones, estos sitios se encuentran relacionados con e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="009F79EB" w:rsidRPr="0055718E">
        <w:rPr>
          <w:rFonts w:ascii="Tahoma" w:eastAsia="Tahoma" w:hAnsi="Tahoma" w:cs="Tahoma"/>
          <w:color w:val="000000"/>
          <w:sz w:val="24"/>
          <w:szCs w:val="24"/>
        </w:rPr>
        <w:t>turismo sexual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ilícito</w:t>
      </w:r>
      <w:r>
        <w:rPr>
          <w:rFonts w:ascii="Tahoma" w:eastAsia="Tahoma" w:hAnsi="Tahoma" w:cs="Tahoma"/>
          <w:color w:val="000000"/>
          <w:sz w:val="24"/>
          <w:szCs w:val="24"/>
        </w:rPr>
        <w:t>, el cual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re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presenta formas de violencia social y de género donde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niñas, niños, jóvenes y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mujeres, están expuest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s a situaci</w:t>
      </w:r>
      <w:r>
        <w:rPr>
          <w:rFonts w:ascii="Tahoma" w:eastAsia="Tahoma" w:hAnsi="Tahoma" w:cs="Tahoma"/>
          <w:color w:val="000000"/>
          <w:sz w:val="24"/>
          <w:szCs w:val="24"/>
        </w:rPr>
        <w:t>ones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de alta </w:t>
      </w:r>
      <w:r>
        <w:rPr>
          <w:rFonts w:ascii="Tahoma" w:eastAsia="Tahoma" w:hAnsi="Tahoma" w:cs="Tahoma"/>
          <w:color w:val="000000"/>
          <w:sz w:val="24"/>
          <w:szCs w:val="24"/>
        </w:rPr>
        <w:t>insegurida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>riesgo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y vulneración de sus derechos</w:t>
      </w:r>
      <w:r w:rsidR="009F79EB" w:rsidRPr="00345ECF">
        <w:rPr>
          <w:rFonts w:ascii="Tahoma" w:eastAsia="Tahoma" w:hAnsi="Tahoma" w:cs="Tahoma"/>
          <w:color w:val="000000"/>
          <w:sz w:val="24"/>
          <w:szCs w:val="24"/>
        </w:rPr>
        <w:t>. Este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tipo de actividades ilícitas son una fuente de captación de divisas y generador de empleos que se mueven permanentemente </w:t>
      </w:r>
      <w:r w:rsidR="001B28E0">
        <w:rPr>
          <w:rFonts w:ascii="Tahoma" w:eastAsia="Tahoma" w:hAnsi="Tahoma" w:cs="Tahoma"/>
          <w:color w:val="000000"/>
          <w:sz w:val="24"/>
          <w:szCs w:val="24"/>
        </w:rPr>
        <w:t>en</w:t>
      </w:r>
      <w:r w:rsidR="009F79EB">
        <w:rPr>
          <w:rFonts w:ascii="Tahoma" w:eastAsia="Tahoma" w:hAnsi="Tahoma" w:cs="Tahoma"/>
          <w:color w:val="000000"/>
          <w:sz w:val="24"/>
          <w:szCs w:val="24"/>
        </w:rPr>
        <w:t xml:space="preserve"> la ilegalidad y en torno al cual giran otra variedad amplia de prácticas ilegales</w:t>
      </w:r>
      <w:r w:rsidR="00285850">
        <w:rPr>
          <w:rStyle w:val="Refdenotaalpie"/>
          <w:rFonts w:ascii="Tahoma" w:eastAsia="Tahoma" w:hAnsi="Tahoma" w:cs="Tahoma"/>
          <w:color w:val="000000"/>
          <w:sz w:val="24"/>
          <w:szCs w:val="24"/>
        </w:rPr>
        <w:footnoteReference w:id="5"/>
      </w:r>
      <w:r w:rsidR="009F79EB">
        <w:rPr>
          <w:rFonts w:ascii="Tahoma" w:eastAsia="Tahoma" w:hAnsi="Tahoma" w:cs="Tahoma"/>
          <w:color w:val="000000"/>
          <w:sz w:val="24"/>
          <w:szCs w:val="24"/>
        </w:rPr>
        <w:t>.</w:t>
      </w:r>
    </w:p>
    <w:p w14:paraId="27D4D908" w14:textId="77777777" w:rsidR="00D86836" w:rsidRPr="001C4D19" w:rsidRDefault="00D86836" w:rsidP="00D868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6"/>
          <w:szCs w:val="24"/>
        </w:rPr>
      </w:pPr>
    </w:p>
    <w:p w14:paraId="2B96DFE0" w14:textId="77777777" w:rsidR="007171DF" w:rsidRDefault="009F79EB" w:rsidP="00345ECF">
      <w:pPr>
        <w:shd w:val="clear" w:color="auto" w:fill="FFFFFF"/>
        <w:spacing w:after="150"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345ECF">
        <w:rPr>
          <w:rFonts w:ascii="Tahoma" w:eastAsia="Tahoma" w:hAnsi="Tahoma" w:cs="Tahoma"/>
          <w:b/>
          <w:sz w:val="24"/>
          <w:szCs w:val="24"/>
        </w:rPr>
        <w:t>IV.</w:t>
      </w:r>
      <w:r w:rsidR="000D5D48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En </w:t>
      </w:r>
      <w:r w:rsidR="00D952A4">
        <w:rPr>
          <w:rFonts w:ascii="Tahoma" w:eastAsia="Tahoma" w:hAnsi="Tahoma" w:cs="Tahoma"/>
          <w:sz w:val="24"/>
          <w:szCs w:val="24"/>
        </w:rPr>
        <w:t>la esfera local</w:t>
      </w:r>
      <w:r>
        <w:rPr>
          <w:rFonts w:ascii="Tahoma" w:eastAsia="Tahoma" w:hAnsi="Tahoma" w:cs="Tahoma"/>
          <w:sz w:val="24"/>
          <w:szCs w:val="24"/>
        </w:rPr>
        <w:t>, se ha tenido un</w:t>
      </w:r>
      <w:r w:rsidR="00606686">
        <w:rPr>
          <w:rFonts w:ascii="Tahoma" w:eastAsia="Tahoma" w:hAnsi="Tahoma" w:cs="Tahoma"/>
          <w:sz w:val="24"/>
          <w:szCs w:val="24"/>
        </w:rPr>
        <w:t xml:space="preserve"> incremento</w:t>
      </w:r>
      <w:r>
        <w:rPr>
          <w:rFonts w:ascii="Tahoma" w:eastAsia="Tahoma" w:hAnsi="Tahoma" w:cs="Tahoma"/>
          <w:sz w:val="24"/>
          <w:szCs w:val="24"/>
        </w:rPr>
        <w:t xml:space="preserve"> de</w:t>
      </w:r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establecimientos dedicados a la venta de bebidas alcohólicas, </w:t>
      </w:r>
      <w:r w:rsidR="00D952A4">
        <w:rPr>
          <w:rFonts w:ascii="Tahoma" w:eastAsia="Tahoma" w:hAnsi="Tahoma" w:cs="Tahoma"/>
          <w:color w:val="000000"/>
          <w:sz w:val="24"/>
          <w:szCs w:val="24"/>
        </w:rPr>
        <w:t xml:space="preserve">lo cual es observable en la mayoría de nuestras ciudades, y a nivel estatal, </w:t>
      </w:r>
      <w:r w:rsidR="00134476">
        <w:rPr>
          <w:rFonts w:ascii="Tahoma" w:eastAsia="Tahoma" w:hAnsi="Tahoma" w:cs="Tahoma"/>
          <w:color w:val="000000"/>
          <w:sz w:val="24"/>
          <w:szCs w:val="24"/>
        </w:rPr>
        <w:t>en</w:t>
      </w:r>
      <w:r w:rsidR="00D952A4">
        <w:rPr>
          <w:rFonts w:ascii="Tahoma" w:eastAsia="Tahoma" w:hAnsi="Tahoma" w:cs="Tahoma"/>
          <w:color w:val="000000"/>
          <w:sz w:val="24"/>
          <w:szCs w:val="24"/>
        </w:rPr>
        <w:t xml:space="preserve"> 2019, </w:t>
      </w:r>
      <w:r>
        <w:rPr>
          <w:rFonts w:ascii="Tahoma" w:eastAsia="Tahoma" w:hAnsi="Tahoma" w:cs="Tahoma"/>
          <w:color w:val="000000"/>
          <w:sz w:val="24"/>
          <w:szCs w:val="24"/>
        </w:rPr>
        <w:t>Puebla</w:t>
      </w:r>
      <w:r w:rsidR="00C35C9E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952A4">
        <w:rPr>
          <w:rFonts w:ascii="Tahoma" w:eastAsia="Tahoma" w:hAnsi="Tahoma" w:cs="Tahoma"/>
          <w:color w:val="000000"/>
          <w:sz w:val="24"/>
          <w:szCs w:val="24"/>
        </w:rPr>
        <w:t>registró</w:t>
      </w:r>
      <w:r w:rsidR="00C35C9E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84666B">
        <w:rPr>
          <w:rFonts w:ascii="Tahoma" w:eastAsia="Tahoma" w:hAnsi="Tahoma" w:cs="Tahoma"/>
          <w:color w:val="000000"/>
          <w:sz w:val="24"/>
          <w:szCs w:val="24"/>
        </w:rPr>
        <w:t>1,932</w:t>
      </w:r>
      <w:r w:rsidR="00C35C9E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84666B" w:rsidRPr="0084666B">
        <w:rPr>
          <w:rFonts w:ascii="Tahoma" w:eastAsia="Tahoma" w:hAnsi="Tahoma" w:cs="Tahoma"/>
          <w:color w:val="000000"/>
          <w:sz w:val="24"/>
          <w:szCs w:val="24"/>
        </w:rPr>
        <w:t>Bares, cantinas y similares</w:t>
      </w:r>
      <w:r w:rsidR="003317A8">
        <w:rPr>
          <w:rFonts w:ascii="Tahoma" w:eastAsia="Tahoma" w:hAnsi="Tahoma" w:cs="Tahoma"/>
          <w:color w:val="000000"/>
          <w:sz w:val="24"/>
          <w:szCs w:val="24"/>
        </w:rPr>
        <w:t>,</w:t>
      </w:r>
      <w:r w:rsidR="00C35C9E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15296D">
        <w:rPr>
          <w:rFonts w:ascii="Tahoma" w:eastAsia="Tahoma" w:hAnsi="Tahoma" w:cs="Tahoma"/>
          <w:color w:val="000000"/>
          <w:sz w:val="24"/>
          <w:szCs w:val="24"/>
        </w:rPr>
        <w:t>278 más que en 2018</w:t>
      </w:r>
      <w:r w:rsidR="00345ECF">
        <w:rPr>
          <w:rFonts w:ascii="Tahoma" w:eastAsia="Tahoma" w:hAnsi="Tahoma" w:cs="Tahoma"/>
          <w:color w:val="000000"/>
          <w:sz w:val="24"/>
          <w:szCs w:val="24"/>
        </w:rPr>
        <w:t xml:space="preserve"> (ver Cuadro 1)</w:t>
      </w:r>
      <w:r w:rsidR="0015296D">
        <w:rPr>
          <w:rFonts w:ascii="Tahoma" w:eastAsia="Tahoma" w:hAnsi="Tahoma" w:cs="Tahoma"/>
          <w:color w:val="000000"/>
          <w:sz w:val="24"/>
          <w:szCs w:val="24"/>
        </w:rPr>
        <w:t xml:space="preserve">, además de tener </w:t>
      </w:r>
      <w:r w:rsidR="00134476">
        <w:rPr>
          <w:rFonts w:ascii="Tahoma" w:eastAsia="Tahoma" w:hAnsi="Tahoma" w:cs="Tahoma"/>
          <w:color w:val="000000"/>
          <w:sz w:val="24"/>
          <w:szCs w:val="24"/>
        </w:rPr>
        <w:t xml:space="preserve">1,321 comercios al por menor de cerveza, vinos o licores y </w:t>
      </w:r>
      <w:r w:rsidR="00C35C9E">
        <w:rPr>
          <w:rFonts w:ascii="Tahoma" w:eastAsia="Tahoma" w:hAnsi="Tahoma" w:cs="Tahoma"/>
          <w:color w:val="000000"/>
          <w:sz w:val="24"/>
          <w:szCs w:val="24"/>
        </w:rPr>
        <w:t>1</w:t>
      </w:r>
      <w:r w:rsidR="0084666B">
        <w:rPr>
          <w:rFonts w:ascii="Tahoma" w:eastAsia="Tahoma" w:hAnsi="Tahoma" w:cs="Tahoma"/>
          <w:color w:val="000000"/>
          <w:sz w:val="24"/>
          <w:szCs w:val="24"/>
        </w:rPr>
        <w:t>15</w:t>
      </w:r>
      <w:r w:rsidR="00C35C9E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84666B" w:rsidRPr="0084666B">
        <w:rPr>
          <w:rFonts w:ascii="Tahoma" w:eastAsia="Tahoma" w:hAnsi="Tahoma" w:cs="Tahoma"/>
          <w:color w:val="000000"/>
          <w:sz w:val="24"/>
          <w:szCs w:val="24"/>
        </w:rPr>
        <w:t>Centros nocturnos, discotecas y similares</w:t>
      </w:r>
      <w:r w:rsidR="00134476">
        <w:rPr>
          <w:rFonts w:ascii="Tahoma" w:eastAsia="Tahoma" w:hAnsi="Tahoma" w:cs="Tahoma"/>
          <w:color w:val="000000"/>
          <w:sz w:val="24"/>
          <w:szCs w:val="24"/>
        </w:rPr>
        <w:t>,</w:t>
      </w:r>
      <w:r w:rsidR="002C4252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15296D">
        <w:rPr>
          <w:rFonts w:ascii="Tahoma" w:eastAsia="Tahoma" w:hAnsi="Tahoma" w:cs="Tahoma"/>
          <w:color w:val="000000"/>
          <w:sz w:val="24"/>
          <w:szCs w:val="24"/>
        </w:rPr>
        <w:t>dentro de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su comprensión territor</w:t>
      </w:r>
      <w:r w:rsidR="00DA6664">
        <w:rPr>
          <w:rFonts w:ascii="Tahoma" w:eastAsia="Tahoma" w:hAnsi="Tahoma" w:cs="Tahoma"/>
          <w:color w:val="000000"/>
          <w:sz w:val="24"/>
          <w:szCs w:val="24"/>
        </w:rPr>
        <w:t>ial</w:t>
      </w:r>
      <w:r w:rsidR="00F30491">
        <w:rPr>
          <w:rStyle w:val="Refdenotaalpie"/>
          <w:rFonts w:ascii="Tahoma" w:eastAsia="Tahoma" w:hAnsi="Tahoma" w:cs="Tahoma"/>
          <w:color w:val="000000"/>
          <w:sz w:val="24"/>
          <w:szCs w:val="24"/>
        </w:rPr>
        <w:footnoteReference w:id="6"/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15296D">
        <w:rPr>
          <w:rFonts w:ascii="Tahoma" w:eastAsia="Tahoma" w:hAnsi="Tahoma" w:cs="Tahoma"/>
          <w:sz w:val="24"/>
          <w:szCs w:val="24"/>
        </w:rPr>
        <w:t xml:space="preserve">Además de los sitios </w:t>
      </w:r>
      <w:r w:rsidR="002870D0">
        <w:rPr>
          <w:rFonts w:ascii="Tahoma" w:eastAsia="Tahoma" w:hAnsi="Tahoma" w:cs="Tahoma"/>
          <w:sz w:val="24"/>
          <w:szCs w:val="24"/>
        </w:rPr>
        <w:t xml:space="preserve">reportados, </w:t>
      </w:r>
      <w:r w:rsidR="0015296D">
        <w:rPr>
          <w:rFonts w:ascii="Tahoma" w:eastAsia="Tahoma" w:hAnsi="Tahoma" w:cs="Tahoma"/>
          <w:sz w:val="24"/>
          <w:szCs w:val="24"/>
        </w:rPr>
        <w:t xml:space="preserve">se presume </w:t>
      </w:r>
      <w:r w:rsidR="002870D0">
        <w:rPr>
          <w:rFonts w:ascii="Tahoma" w:eastAsia="Tahoma" w:hAnsi="Tahoma" w:cs="Tahoma"/>
          <w:sz w:val="24"/>
          <w:szCs w:val="24"/>
        </w:rPr>
        <w:t xml:space="preserve">que existen muchos más, </w:t>
      </w:r>
      <w:r w:rsidR="0015296D">
        <w:rPr>
          <w:rFonts w:ascii="Tahoma" w:eastAsia="Tahoma" w:hAnsi="Tahoma" w:cs="Tahoma"/>
          <w:sz w:val="24"/>
          <w:szCs w:val="24"/>
        </w:rPr>
        <w:t>operando de forma clandestina.</w:t>
      </w:r>
    </w:p>
    <w:p w14:paraId="5617514A" w14:textId="77777777" w:rsidR="00345ECF" w:rsidRDefault="00345ECF" w:rsidP="00345ECF">
      <w:pPr>
        <w:shd w:val="clear" w:color="auto" w:fill="FFFFFF"/>
        <w:spacing w:after="0" w:line="360" w:lineRule="auto"/>
        <w:jc w:val="center"/>
        <w:rPr>
          <w:rFonts w:ascii="Tahoma" w:eastAsia="Tahoma" w:hAnsi="Tahoma" w:cs="Tahoma"/>
          <w:sz w:val="24"/>
          <w:szCs w:val="24"/>
        </w:rPr>
      </w:pPr>
      <w:r w:rsidRPr="00345ECF">
        <w:rPr>
          <w:rFonts w:ascii="Tahoma" w:eastAsia="Tahoma" w:hAnsi="Tahoma" w:cs="Tahoma"/>
          <w:b/>
          <w:sz w:val="24"/>
          <w:szCs w:val="24"/>
        </w:rPr>
        <w:t>Cuadro 1.</w:t>
      </w:r>
      <w:r>
        <w:rPr>
          <w:rFonts w:ascii="Tahoma" w:eastAsia="Tahoma" w:hAnsi="Tahoma" w:cs="Tahoma"/>
          <w:sz w:val="24"/>
          <w:szCs w:val="24"/>
        </w:rPr>
        <w:t xml:space="preserve"> Número de Establecimientos de venta y suministro </w:t>
      </w:r>
    </w:p>
    <w:p w14:paraId="57967792" w14:textId="77777777" w:rsidR="00345ECF" w:rsidRDefault="00345ECF" w:rsidP="00345ECF">
      <w:pPr>
        <w:shd w:val="clear" w:color="auto" w:fill="FFFFFF"/>
        <w:spacing w:after="0"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 bebidas alcohólicas en el estado de Puebla.</w:t>
      </w:r>
    </w:p>
    <w:tbl>
      <w:tblPr>
        <w:tblStyle w:val="Tablaconcuadrcula4-nfasis3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1276"/>
        <w:gridCol w:w="1169"/>
      </w:tblGrid>
      <w:tr w:rsidR="00345ECF" w:rsidRPr="00345ECF" w14:paraId="7C2E8008" w14:textId="77777777" w:rsidTr="00345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vAlign w:val="center"/>
          </w:tcPr>
          <w:p w14:paraId="42760743" w14:textId="77777777" w:rsidR="00345ECF" w:rsidRPr="00345ECF" w:rsidRDefault="00345ECF" w:rsidP="00345ECF">
            <w:pPr>
              <w:shd w:val="clear" w:color="auto" w:fill="FFFFFF"/>
              <w:spacing w:line="276" w:lineRule="auto"/>
              <w:ind w:left="426" w:hanging="426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016C68" w14:textId="77777777" w:rsidR="00345ECF" w:rsidRPr="00345ECF" w:rsidRDefault="00345ECF" w:rsidP="00345ECF">
            <w:pPr>
              <w:shd w:val="clear" w:color="auto" w:fill="FFFFFF"/>
              <w:spacing w:line="276" w:lineRule="auto"/>
              <w:ind w:left="426" w:hanging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345ECF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2A8AE2B" w14:textId="77777777" w:rsidR="00345ECF" w:rsidRPr="00345ECF" w:rsidRDefault="00345ECF" w:rsidP="00345ECF">
            <w:pPr>
              <w:shd w:val="clear" w:color="auto" w:fill="FFFFFF"/>
              <w:spacing w:line="276" w:lineRule="auto"/>
              <w:ind w:left="426" w:hanging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345ECF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345ECF" w:rsidRPr="00345ECF" w14:paraId="2278E7EA" w14:textId="77777777" w:rsidTr="0034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1EF2C000" w14:textId="77777777" w:rsidR="00345ECF" w:rsidRPr="00345ECF" w:rsidRDefault="00345ECF" w:rsidP="00345ECF">
            <w:pPr>
              <w:spacing w:line="276" w:lineRule="auto"/>
              <w:ind w:left="426" w:hanging="4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345ECF">
              <w:rPr>
                <w:rFonts w:ascii="Tahoma" w:eastAsia="Tahoma" w:hAnsi="Tahoma" w:cs="Tahoma"/>
                <w:sz w:val="24"/>
                <w:szCs w:val="24"/>
              </w:rPr>
              <w:t>Bares, cantinas y similares</w:t>
            </w:r>
          </w:p>
        </w:tc>
        <w:tc>
          <w:tcPr>
            <w:tcW w:w="1276" w:type="dxa"/>
            <w:vAlign w:val="center"/>
          </w:tcPr>
          <w:p w14:paraId="61BC74AC" w14:textId="77777777" w:rsidR="00345ECF" w:rsidRPr="00345ECF" w:rsidRDefault="00345ECF" w:rsidP="00345ECF">
            <w:pPr>
              <w:spacing w:line="276" w:lineRule="auto"/>
              <w:ind w:left="426" w:hanging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1,654</w:t>
            </w:r>
          </w:p>
        </w:tc>
        <w:tc>
          <w:tcPr>
            <w:tcW w:w="1169" w:type="dxa"/>
            <w:vAlign w:val="center"/>
          </w:tcPr>
          <w:p w14:paraId="15D4DEED" w14:textId="77777777" w:rsidR="00345ECF" w:rsidRPr="00345ECF" w:rsidRDefault="00345ECF" w:rsidP="00345ECF">
            <w:pPr>
              <w:spacing w:line="276" w:lineRule="auto"/>
              <w:ind w:left="426" w:hanging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sz w:val="24"/>
                <w:szCs w:val="24"/>
              </w:rPr>
            </w:pPr>
            <w:r w:rsidRPr="00345ECF">
              <w:rPr>
                <w:rFonts w:ascii="Tahoma" w:eastAsia="Tahoma" w:hAnsi="Tahoma" w:cs="Tahoma"/>
                <w:sz w:val="24"/>
                <w:szCs w:val="24"/>
              </w:rPr>
              <w:t>1,932</w:t>
            </w:r>
          </w:p>
        </w:tc>
      </w:tr>
      <w:tr w:rsidR="00345ECF" w:rsidRPr="00345ECF" w14:paraId="3CBB71A2" w14:textId="77777777" w:rsidTr="00345E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1365D03B" w14:textId="77777777" w:rsidR="00345ECF" w:rsidRPr="00345ECF" w:rsidRDefault="00345ECF" w:rsidP="00345ECF">
            <w:pPr>
              <w:spacing w:line="276" w:lineRule="auto"/>
              <w:ind w:left="426" w:hanging="4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Centros nocturnos, discotecas y </w:t>
            </w:r>
            <w:r w:rsidRPr="00345ECF">
              <w:rPr>
                <w:rFonts w:ascii="Tahoma" w:eastAsia="Tahoma" w:hAnsi="Tahoma" w:cs="Tahoma"/>
                <w:sz w:val="24"/>
                <w:szCs w:val="24"/>
              </w:rPr>
              <w:t>similares</w:t>
            </w:r>
          </w:p>
        </w:tc>
        <w:tc>
          <w:tcPr>
            <w:tcW w:w="1276" w:type="dxa"/>
            <w:vAlign w:val="center"/>
          </w:tcPr>
          <w:p w14:paraId="43F22134" w14:textId="77777777" w:rsidR="00345ECF" w:rsidRPr="00345ECF" w:rsidRDefault="00345ECF" w:rsidP="00345ECF">
            <w:pPr>
              <w:spacing w:line="276" w:lineRule="auto"/>
              <w:ind w:left="426" w:hanging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24"/>
                <w:szCs w:val="24"/>
              </w:rPr>
            </w:pPr>
            <w:r w:rsidRPr="00345ECF">
              <w:rPr>
                <w:rFonts w:ascii="Tahoma" w:eastAsia="Tahoma" w:hAnsi="Tahoma" w:cs="Tahoma"/>
                <w:sz w:val="24"/>
                <w:szCs w:val="24"/>
              </w:rPr>
              <w:t>124</w:t>
            </w:r>
          </w:p>
        </w:tc>
        <w:tc>
          <w:tcPr>
            <w:tcW w:w="1169" w:type="dxa"/>
            <w:vAlign w:val="center"/>
          </w:tcPr>
          <w:p w14:paraId="3AF0A374" w14:textId="77777777" w:rsidR="00345ECF" w:rsidRPr="00345ECF" w:rsidRDefault="00345ECF" w:rsidP="00345ECF">
            <w:pPr>
              <w:spacing w:line="276" w:lineRule="auto"/>
              <w:ind w:left="426" w:hanging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24"/>
                <w:szCs w:val="24"/>
              </w:rPr>
            </w:pPr>
            <w:r w:rsidRPr="00345ECF">
              <w:rPr>
                <w:rFonts w:ascii="Tahoma" w:eastAsia="Tahoma" w:hAnsi="Tahoma" w:cs="Tahoma"/>
                <w:sz w:val="24"/>
                <w:szCs w:val="24"/>
              </w:rPr>
              <w:t>115</w:t>
            </w:r>
          </w:p>
        </w:tc>
      </w:tr>
      <w:tr w:rsidR="00345ECF" w:rsidRPr="00345ECF" w14:paraId="0E33E5D9" w14:textId="77777777" w:rsidTr="00345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7E031B2E" w14:textId="77777777" w:rsidR="00345ECF" w:rsidRPr="00345ECF" w:rsidRDefault="00345ECF" w:rsidP="00345ECF">
            <w:pPr>
              <w:spacing w:line="276" w:lineRule="auto"/>
              <w:ind w:left="426" w:hanging="42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345ECF">
              <w:rPr>
                <w:rFonts w:ascii="Tahoma" w:eastAsia="Tahoma" w:hAnsi="Tahoma" w:cs="Tahoma"/>
                <w:sz w:val="24"/>
                <w:szCs w:val="24"/>
              </w:rPr>
              <w:t>Com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ercios al por menor de cerveza, </w:t>
            </w:r>
            <w:r w:rsidRPr="00345ECF">
              <w:rPr>
                <w:rFonts w:ascii="Tahoma" w:eastAsia="Tahoma" w:hAnsi="Tahoma" w:cs="Tahoma"/>
                <w:sz w:val="24"/>
                <w:szCs w:val="24"/>
              </w:rPr>
              <w:t>vinos o licores</w:t>
            </w:r>
          </w:p>
        </w:tc>
        <w:tc>
          <w:tcPr>
            <w:tcW w:w="1276" w:type="dxa"/>
            <w:vAlign w:val="center"/>
          </w:tcPr>
          <w:p w14:paraId="5836B0EA" w14:textId="77777777" w:rsidR="00345ECF" w:rsidRPr="00345ECF" w:rsidRDefault="00345ECF" w:rsidP="00345ECF">
            <w:pPr>
              <w:spacing w:line="276" w:lineRule="auto"/>
              <w:ind w:left="426" w:hanging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sz w:val="24"/>
                <w:szCs w:val="24"/>
              </w:rPr>
            </w:pPr>
            <w:r w:rsidRPr="00345ECF">
              <w:rPr>
                <w:rFonts w:ascii="Tahoma" w:eastAsia="Tahoma" w:hAnsi="Tahoma" w:cs="Tahoma"/>
                <w:sz w:val="24"/>
                <w:szCs w:val="24"/>
              </w:rPr>
              <w:t>1,355</w:t>
            </w:r>
          </w:p>
        </w:tc>
        <w:tc>
          <w:tcPr>
            <w:tcW w:w="1169" w:type="dxa"/>
            <w:vAlign w:val="center"/>
          </w:tcPr>
          <w:p w14:paraId="452DEEED" w14:textId="77777777" w:rsidR="00345ECF" w:rsidRPr="00345ECF" w:rsidRDefault="00345ECF" w:rsidP="00345ECF">
            <w:pPr>
              <w:spacing w:line="276" w:lineRule="auto"/>
              <w:ind w:left="426" w:hanging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sz w:val="24"/>
                <w:szCs w:val="24"/>
              </w:rPr>
            </w:pPr>
            <w:r w:rsidRPr="00345ECF">
              <w:rPr>
                <w:rFonts w:ascii="Tahoma" w:eastAsia="Tahoma" w:hAnsi="Tahoma" w:cs="Tahoma"/>
                <w:sz w:val="24"/>
                <w:szCs w:val="24"/>
              </w:rPr>
              <w:t>1,321</w:t>
            </w:r>
          </w:p>
        </w:tc>
      </w:tr>
    </w:tbl>
    <w:p w14:paraId="780570F3" w14:textId="77777777" w:rsidR="00BC58A1" w:rsidRPr="00345ECF" w:rsidRDefault="00345ECF" w:rsidP="00345ECF">
      <w:pPr>
        <w:spacing w:after="150" w:line="360" w:lineRule="auto"/>
        <w:ind w:left="426" w:hanging="426"/>
        <w:jc w:val="center"/>
        <w:rPr>
          <w:rFonts w:ascii="Tahoma" w:eastAsia="Tahoma" w:hAnsi="Tahoma" w:cs="Tahoma"/>
          <w:szCs w:val="24"/>
        </w:rPr>
      </w:pPr>
      <w:r w:rsidRPr="00345ECF">
        <w:rPr>
          <w:rFonts w:ascii="Tahoma" w:eastAsia="Tahoma" w:hAnsi="Tahoma" w:cs="Tahoma"/>
          <w:b/>
          <w:szCs w:val="24"/>
        </w:rPr>
        <w:t>Fuente:</w:t>
      </w:r>
      <w:r w:rsidRPr="00345ECF">
        <w:rPr>
          <w:rFonts w:ascii="Tahoma" w:eastAsia="Tahoma" w:hAnsi="Tahoma" w:cs="Tahoma"/>
          <w:szCs w:val="24"/>
        </w:rPr>
        <w:t xml:space="preserve"> Directorio Estadístico Nacional de Unidades Económicas, 2018 y 2019.</w:t>
      </w:r>
    </w:p>
    <w:p w14:paraId="03CB002F" w14:textId="77777777" w:rsidR="00F71642" w:rsidRDefault="0015296D" w:rsidP="00F71642">
      <w:pPr>
        <w:shd w:val="clear" w:color="auto" w:fill="FFFFFF"/>
        <w:spacing w:after="150" w:line="360" w:lineRule="auto"/>
        <w:jc w:val="both"/>
        <w:rPr>
          <w:rFonts w:ascii="Tahoma" w:eastAsia="Tahoma" w:hAnsi="Tahoma" w:cs="Tahoma"/>
          <w:color w:val="333333"/>
          <w:sz w:val="24"/>
          <w:szCs w:val="24"/>
        </w:rPr>
      </w:pPr>
      <w:r w:rsidRPr="00D7410B">
        <w:rPr>
          <w:rFonts w:ascii="Tahoma" w:eastAsia="Tahoma" w:hAnsi="Tahoma" w:cs="Tahoma"/>
          <w:b/>
          <w:sz w:val="24"/>
          <w:szCs w:val="24"/>
        </w:rPr>
        <w:t>V.</w:t>
      </w:r>
      <w:r>
        <w:rPr>
          <w:rFonts w:ascii="Tahoma" w:eastAsia="Tahoma" w:hAnsi="Tahoma" w:cs="Tahoma"/>
          <w:sz w:val="24"/>
          <w:szCs w:val="24"/>
        </w:rPr>
        <w:t xml:space="preserve"> Sin duda, estos establecimientos son lugares que generan condiciones para la comisión de todo tipo de delitos</w:t>
      </w:r>
      <w:r w:rsidR="00645B09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pero</w:t>
      </w:r>
      <w:r w:rsidR="00645B09">
        <w:rPr>
          <w:rFonts w:ascii="Tahoma" w:eastAsia="Tahoma" w:hAnsi="Tahoma" w:cs="Tahoma"/>
          <w:sz w:val="24"/>
          <w:szCs w:val="24"/>
        </w:rPr>
        <w:t xml:space="preserve"> las medidas hasta hoy tomadas</w:t>
      </w:r>
      <w:r>
        <w:rPr>
          <w:rFonts w:ascii="Tahoma" w:eastAsia="Tahoma" w:hAnsi="Tahoma" w:cs="Tahoma"/>
          <w:sz w:val="24"/>
          <w:szCs w:val="24"/>
        </w:rPr>
        <w:t>,</w:t>
      </w:r>
      <w:r w:rsidR="00645B09">
        <w:rPr>
          <w:rFonts w:ascii="Tahoma" w:eastAsia="Tahoma" w:hAnsi="Tahoma" w:cs="Tahoma"/>
          <w:sz w:val="24"/>
          <w:szCs w:val="24"/>
        </w:rPr>
        <w:t xml:space="preserve"> como son los operativos nocturnos no han sido del todo efectivas, puesto que muchas veces se corre la voz desde afuera de estos centros, alertando a los delincuentes para darles la oportunidad de esconder cualquier rastro o actividad ilícita.</w:t>
      </w:r>
    </w:p>
    <w:p w14:paraId="1DD2BFC0" w14:textId="77777777" w:rsidR="007171DF" w:rsidRPr="00F71642" w:rsidRDefault="009F79EB" w:rsidP="00F71642">
      <w:pPr>
        <w:shd w:val="clear" w:color="auto" w:fill="FFFFFF"/>
        <w:spacing w:after="150" w:line="360" w:lineRule="auto"/>
        <w:jc w:val="both"/>
        <w:rPr>
          <w:rFonts w:ascii="Tahoma" w:eastAsia="Tahoma" w:hAnsi="Tahoma" w:cs="Tahoma"/>
          <w:color w:val="333333"/>
          <w:sz w:val="24"/>
          <w:szCs w:val="24"/>
        </w:rPr>
      </w:pPr>
      <w:r w:rsidRPr="00D7410B"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V</w:t>
      </w:r>
      <w:r w:rsidR="0015296D" w:rsidRPr="00D7410B">
        <w:rPr>
          <w:rFonts w:ascii="Tahoma" w:eastAsia="Tahoma" w:hAnsi="Tahoma" w:cs="Tahoma"/>
          <w:b/>
          <w:color w:val="000000"/>
          <w:sz w:val="24"/>
          <w:szCs w:val="24"/>
        </w:rPr>
        <w:t>I</w:t>
      </w:r>
      <w:r w:rsidRPr="00D7410B">
        <w:rPr>
          <w:rFonts w:ascii="Tahoma" w:eastAsia="Tahoma" w:hAnsi="Tahoma" w:cs="Tahoma"/>
          <w:b/>
          <w:color w:val="000000"/>
          <w:sz w:val="24"/>
          <w:szCs w:val="24"/>
        </w:rPr>
        <w:t>.</w:t>
      </w:r>
      <w:r w:rsidR="0095640C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Los municipios al ser organismos autónomos tienen la facultad, dentro de sus respectivas jurisdicciones, para aprobar los reglamentos, circulares y disposiciones administrativas de observancia general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7"/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para regular y controlar la apertura de estos </w:t>
      </w:r>
      <w:r w:rsidR="00582D1B">
        <w:rPr>
          <w:rFonts w:ascii="Tahoma" w:eastAsia="Tahoma" w:hAnsi="Tahoma" w:cs="Tahoma"/>
          <w:color w:val="000000"/>
          <w:sz w:val="24"/>
          <w:szCs w:val="24"/>
        </w:rPr>
        <w:t xml:space="preserve">negocios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mediante </w:t>
      </w:r>
      <w:r w:rsidRPr="00645B09">
        <w:rPr>
          <w:rFonts w:ascii="Tahoma" w:eastAsia="Tahoma" w:hAnsi="Tahoma" w:cs="Tahoma"/>
          <w:color w:val="000000"/>
          <w:sz w:val="24"/>
          <w:szCs w:val="24"/>
        </w:rPr>
        <w:t>acciones de vigilancia</w:t>
      </w:r>
      <w:r w:rsidR="00645B09" w:rsidRPr="002F16E8">
        <w:rPr>
          <w:rFonts w:ascii="Tahoma" w:eastAsia="Tahoma" w:hAnsi="Tahoma" w:cs="Tahoma"/>
          <w:color w:val="000000"/>
          <w:sz w:val="24"/>
          <w:szCs w:val="24"/>
        </w:rPr>
        <w:t xml:space="preserve">, y </w:t>
      </w:r>
      <w:r w:rsidRPr="00645B09">
        <w:rPr>
          <w:rFonts w:ascii="Tahoma" w:eastAsia="Tahoma" w:hAnsi="Tahoma" w:cs="Tahoma"/>
          <w:color w:val="000000"/>
          <w:sz w:val="24"/>
          <w:szCs w:val="24"/>
        </w:rPr>
        <w:t xml:space="preserve">en su caso, </w:t>
      </w:r>
      <w:r w:rsidR="00645B09" w:rsidRPr="002F16E8">
        <w:rPr>
          <w:rFonts w:ascii="Tahoma" w:eastAsia="Tahoma" w:hAnsi="Tahoma" w:cs="Tahoma"/>
          <w:color w:val="000000"/>
          <w:sz w:val="24"/>
          <w:szCs w:val="24"/>
        </w:rPr>
        <w:t xml:space="preserve">para realizar el </w:t>
      </w:r>
      <w:r w:rsidRPr="00645B09">
        <w:rPr>
          <w:rFonts w:ascii="Tahoma" w:eastAsia="Tahoma" w:hAnsi="Tahoma" w:cs="Tahoma"/>
          <w:color w:val="000000"/>
          <w:sz w:val="24"/>
          <w:szCs w:val="24"/>
        </w:rPr>
        <w:t xml:space="preserve">cierre o clausura definitiva </w:t>
      </w:r>
      <w:r w:rsidR="00645B09" w:rsidRPr="00645B09">
        <w:rPr>
          <w:rFonts w:ascii="Tahoma" w:eastAsia="Tahoma" w:hAnsi="Tahoma" w:cs="Tahoma"/>
          <w:color w:val="000000"/>
          <w:sz w:val="24"/>
          <w:szCs w:val="24"/>
        </w:rPr>
        <w:t xml:space="preserve">de los establecimientos de venta y </w:t>
      </w:r>
      <w:r w:rsidR="00582D1B">
        <w:rPr>
          <w:rFonts w:ascii="Tahoma" w:eastAsia="Tahoma" w:hAnsi="Tahoma" w:cs="Tahoma"/>
          <w:color w:val="000000"/>
          <w:sz w:val="24"/>
          <w:szCs w:val="24"/>
        </w:rPr>
        <w:t>suministro</w:t>
      </w:r>
      <w:r w:rsidR="00645B09" w:rsidRPr="00645B09">
        <w:rPr>
          <w:rFonts w:ascii="Tahoma" w:eastAsia="Tahoma" w:hAnsi="Tahoma" w:cs="Tahoma"/>
          <w:color w:val="000000"/>
          <w:sz w:val="24"/>
          <w:szCs w:val="24"/>
        </w:rPr>
        <w:t xml:space="preserve"> de bebidas alcohólicas</w:t>
      </w:r>
      <w:r w:rsidR="00645B09" w:rsidRPr="00645B09">
        <w:rPr>
          <w:rStyle w:val="Refdenotaalpie"/>
          <w:rFonts w:ascii="Tahoma" w:eastAsia="Tahoma" w:hAnsi="Tahoma" w:cs="Tahoma"/>
          <w:color w:val="000000"/>
          <w:sz w:val="24"/>
          <w:szCs w:val="24"/>
        </w:rPr>
        <w:footnoteReference w:id="8"/>
      </w:r>
      <w:r w:rsidR="00582D1B">
        <w:rPr>
          <w:rFonts w:ascii="Tahoma" w:eastAsia="Tahoma" w:hAnsi="Tahoma" w:cs="Tahoma"/>
          <w:color w:val="000000"/>
          <w:sz w:val="24"/>
          <w:szCs w:val="24"/>
        </w:rPr>
        <w:t>; con lo cual se</w:t>
      </w:r>
      <w:r w:rsidRPr="00645B0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582D1B">
        <w:rPr>
          <w:rFonts w:ascii="Tahoma" w:eastAsia="Tahoma" w:hAnsi="Tahoma" w:cs="Tahoma"/>
          <w:color w:val="000000"/>
          <w:sz w:val="24"/>
          <w:szCs w:val="24"/>
        </w:rPr>
        <w:t>podría</w:t>
      </w:r>
      <w:r w:rsidRPr="00645B0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582D1B">
        <w:rPr>
          <w:rFonts w:ascii="Tahoma" w:eastAsia="Tahoma" w:hAnsi="Tahoma" w:cs="Tahoma"/>
          <w:color w:val="000000"/>
          <w:sz w:val="24"/>
          <w:szCs w:val="24"/>
        </w:rPr>
        <w:t xml:space="preserve">regular </w:t>
      </w:r>
      <w:r w:rsidR="00645B09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645B09">
        <w:rPr>
          <w:rFonts w:ascii="Tahoma" w:eastAsia="Tahoma" w:hAnsi="Tahoma" w:cs="Tahoma"/>
          <w:color w:val="000000"/>
          <w:sz w:val="24"/>
          <w:szCs w:val="24"/>
        </w:rPr>
        <w:t xml:space="preserve">os lugares </w:t>
      </w:r>
      <w:r w:rsidR="00645B09">
        <w:rPr>
          <w:rFonts w:ascii="Tahoma" w:eastAsia="Tahoma" w:hAnsi="Tahoma" w:cs="Tahoma"/>
          <w:color w:val="000000"/>
          <w:sz w:val="24"/>
          <w:szCs w:val="24"/>
        </w:rPr>
        <w:t xml:space="preserve">propicios </w:t>
      </w:r>
      <w:r w:rsidR="00F475EE">
        <w:rPr>
          <w:rFonts w:ascii="Tahoma" w:eastAsia="Tahoma" w:hAnsi="Tahoma" w:cs="Tahoma"/>
          <w:color w:val="000000"/>
          <w:sz w:val="24"/>
          <w:szCs w:val="24"/>
        </w:rPr>
        <w:t>para</w:t>
      </w:r>
      <w:r w:rsidRPr="00645B09">
        <w:rPr>
          <w:rFonts w:ascii="Tahoma" w:eastAsia="Tahoma" w:hAnsi="Tahoma" w:cs="Tahoma"/>
          <w:color w:val="000000"/>
          <w:sz w:val="24"/>
          <w:szCs w:val="24"/>
        </w:rPr>
        <w:t xml:space="preserve"> las actividades ilícita</w:t>
      </w:r>
      <w:r w:rsidR="00582D1B">
        <w:rPr>
          <w:rFonts w:ascii="Tahoma" w:eastAsia="Tahoma" w:hAnsi="Tahoma" w:cs="Tahoma"/>
          <w:color w:val="000000"/>
          <w:sz w:val="24"/>
          <w:szCs w:val="24"/>
        </w:rPr>
        <w:t xml:space="preserve"> y prevenir las mismas.</w:t>
      </w:r>
    </w:p>
    <w:p w14:paraId="3912F6D3" w14:textId="77777777" w:rsidR="007171DF" w:rsidRDefault="009F79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Pues más allá de los beneficios económicos que otorgan a sus propietarios</w:t>
      </w:r>
      <w:r w:rsidR="00645B09">
        <w:rPr>
          <w:rFonts w:ascii="Tahoma" w:eastAsia="Tahoma" w:hAnsi="Tahoma" w:cs="Tahoma"/>
          <w:color w:val="000000"/>
          <w:sz w:val="24"/>
          <w:szCs w:val="24"/>
        </w:rPr>
        <w:t xml:space="preserve"> de negocios con estos giros</w:t>
      </w:r>
      <w:r>
        <w:rPr>
          <w:rFonts w:ascii="Tahoma" w:eastAsia="Tahoma" w:hAnsi="Tahoma" w:cs="Tahoma"/>
          <w:color w:val="000000"/>
          <w:sz w:val="24"/>
          <w:szCs w:val="24"/>
        </w:rPr>
        <w:t>, son verdaderas fuentes de actividades delictivas que en mucho contribuyen a que la delincuencia se posesione de lugares, ciudades y hasta municipios completos, sirviendo a las organizaciones criminales como centros de operación para cometer otros ilícitos como la trata de personas, secuestros, extorsión, robos y homicidios</w:t>
      </w:r>
      <w:r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9"/>
      </w:r>
      <w:r>
        <w:rPr>
          <w:rFonts w:ascii="Tahoma" w:eastAsia="Tahoma" w:hAnsi="Tahoma" w:cs="Tahoma"/>
          <w:color w:val="000000"/>
          <w:sz w:val="24"/>
          <w:szCs w:val="24"/>
        </w:rPr>
        <w:t>. Delitos que lastiman profundamente el tejido social</w:t>
      </w:r>
      <w:r>
        <w:rPr>
          <w:rFonts w:ascii="Tahoma" w:eastAsia="Tahoma" w:hAnsi="Tahoma" w:cs="Tahoma"/>
          <w:sz w:val="24"/>
          <w:szCs w:val="24"/>
        </w:rPr>
        <w:t>, que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generan ambiente de ingobernabilidad y </w:t>
      </w:r>
      <w:r w:rsidR="00F475EE">
        <w:rPr>
          <w:rFonts w:ascii="Tahoma" w:eastAsia="Tahoma" w:hAnsi="Tahoma" w:cs="Tahoma"/>
          <w:color w:val="000000"/>
          <w:sz w:val="24"/>
          <w:szCs w:val="24"/>
        </w:rPr>
        <w:t xml:space="preserve">de </w:t>
      </w:r>
      <w:r>
        <w:rPr>
          <w:rFonts w:ascii="Tahoma" w:eastAsia="Tahoma" w:hAnsi="Tahoma" w:cs="Tahoma"/>
          <w:color w:val="000000"/>
          <w:sz w:val="24"/>
          <w:szCs w:val="24"/>
        </w:rPr>
        <w:t>ausencia total de seguridad y estado de derecho.</w:t>
      </w:r>
    </w:p>
    <w:p w14:paraId="2793E0D5" w14:textId="77777777" w:rsidR="007171DF" w:rsidRPr="00F71642" w:rsidRDefault="009F79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rPr>
          <w:rFonts w:ascii="Tahoma" w:eastAsia="Tahoma" w:hAnsi="Tahoma" w:cs="Tahoma"/>
          <w:color w:val="000000"/>
          <w:sz w:val="18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</w:t>
      </w:r>
    </w:p>
    <w:p w14:paraId="6F251F99" w14:textId="77777777" w:rsidR="001C4D19" w:rsidRDefault="009F79EB" w:rsidP="00F716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Por lo expuesto, sometemos a</w:t>
      </w:r>
      <w:r w:rsidR="00F30491">
        <w:rPr>
          <w:rFonts w:ascii="Tahoma" w:eastAsia="Tahoma" w:hAnsi="Tahoma" w:cs="Tahoma"/>
          <w:color w:val="000000"/>
          <w:sz w:val="24"/>
          <w:szCs w:val="24"/>
        </w:rPr>
        <w:t xml:space="preserve"> la consideración de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este órgano colegiado, el siguiente</w:t>
      </w:r>
      <w:r w:rsidR="00F30491">
        <w:rPr>
          <w:rFonts w:ascii="Tahoma" w:eastAsia="Tahoma" w:hAnsi="Tahoma" w:cs="Tahoma"/>
          <w:color w:val="000000"/>
          <w:sz w:val="24"/>
          <w:szCs w:val="24"/>
        </w:rPr>
        <w:t>:</w:t>
      </w:r>
    </w:p>
    <w:p w14:paraId="7E3A10B6" w14:textId="77777777" w:rsidR="001C4D19" w:rsidRDefault="001C4D19" w:rsidP="002F16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14A0181F" w14:textId="77777777" w:rsidR="007171DF" w:rsidRPr="002F16E8" w:rsidRDefault="00F30491" w:rsidP="002F16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 w:rsidRPr="00F30491">
        <w:rPr>
          <w:rFonts w:ascii="Tahoma" w:eastAsia="Tahoma" w:hAnsi="Tahoma" w:cs="Tahoma"/>
          <w:b/>
          <w:color w:val="000000"/>
          <w:sz w:val="24"/>
          <w:szCs w:val="24"/>
        </w:rPr>
        <w:t>PUNTO DE ACUERDO</w:t>
      </w:r>
    </w:p>
    <w:p w14:paraId="5CCA166E" w14:textId="77777777" w:rsidR="007171DF" w:rsidRPr="001C4D19" w:rsidRDefault="007171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283"/>
        <w:rPr>
          <w:rFonts w:ascii="Tahoma" w:eastAsia="Tahoma" w:hAnsi="Tahoma" w:cs="Tahoma"/>
          <w:color w:val="000000"/>
          <w:szCs w:val="24"/>
        </w:rPr>
      </w:pPr>
    </w:p>
    <w:p w14:paraId="4FCB6A81" w14:textId="77777777" w:rsidR="007171DF" w:rsidRPr="0094208A" w:rsidRDefault="00496320" w:rsidP="00B363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2F16E8">
        <w:rPr>
          <w:rFonts w:ascii="Tahoma" w:eastAsia="Tahoma" w:hAnsi="Tahoma" w:cs="Tahoma"/>
          <w:b/>
          <w:color w:val="000000"/>
          <w:sz w:val="24"/>
          <w:szCs w:val="24"/>
        </w:rPr>
        <w:t>ÚNICO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.- </w:t>
      </w:r>
      <w:r w:rsidR="00F30491" w:rsidRPr="0094208A">
        <w:rPr>
          <w:rFonts w:ascii="Tahoma" w:eastAsia="Tahoma" w:hAnsi="Tahoma" w:cs="Tahoma"/>
          <w:sz w:val="24"/>
          <w:szCs w:val="24"/>
        </w:rPr>
        <w:t>Se exhorta</w:t>
      </w:r>
      <w:r w:rsidR="009F79EB" w:rsidRPr="0094208A">
        <w:rPr>
          <w:rFonts w:ascii="Tahoma" w:eastAsia="Tahoma" w:hAnsi="Tahoma" w:cs="Tahoma"/>
          <w:sz w:val="24"/>
          <w:szCs w:val="24"/>
        </w:rPr>
        <w:t xml:space="preserve"> </w:t>
      </w:r>
      <w:r w:rsidR="00F30491" w:rsidRPr="0094208A">
        <w:rPr>
          <w:rFonts w:ascii="Tahoma" w:eastAsia="Tahoma" w:hAnsi="Tahoma" w:cs="Tahoma"/>
          <w:sz w:val="24"/>
          <w:szCs w:val="24"/>
        </w:rPr>
        <w:t>respetuosamente</w:t>
      </w:r>
      <w:r w:rsidR="009F79EB" w:rsidRPr="0094208A">
        <w:rPr>
          <w:rFonts w:ascii="Tahoma" w:eastAsia="Tahoma" w:hAnsi="Tahoma" w:cs="Tahoma"/>
          <w:sz w:val="24"/>
          <w:szCs w:val="24"/>
        </w:rPr>
        <w:t xml:space="preserve"> a los 217 municipios, a que se implementen, con estricto derecho, medidas administrativas y de seguridad, para vigilar, regular o </w:t>
      </w:r>
      <w:r w:rsidR="009F79EB" w:rsidRPr="0094208A">
        <w:rPr>
          <w:rFonts w:ascii="Tahoma" w:eastAsia="Tahoma" w:hAnsi="Tahoma" w:cs="Tahoma"/>
          <w:sz w:val="24"/>
          <w:szCs w:val="24"/>
        </w:rPr>
        <w:lastRenderedPageBreak/>
        <w:t>en su caso clausurar</w:t>
      </w:r>
      <w:r w:rsidR="00F30491" w:rsidRPr="0094208A">
        <w:rPr>
          <w:rFonts w:ascii="Tahoma" w:eastAsia="Tahoma" w:hAnsi="Tahoma" w:cs="Tahoma"/>
          <w:sz w:val="24"/>
          <w:szCs w:val="24"/>
        </w:rPr>
        <w:t>:</w:t>
      </w:r>
      <w:r w:rsidR="009F79EB" w:rsidRPr="0094208A">
        <w:rPr>
          <w:rFonts w:ascii="Tahoma" w:eastAsia="Tahoma" w:hAnsi="Tahoma" w:cs="Tahoma"/>
          <w:sz w:val="24"/>
          <w:szCs w:val="24"/>
        </w:rPr>
        <w:t xml:space="preserve"> los Centros Nocturnos, Bares, Cantinas, Discotecas, Karaokes, Centros de Baile, Salones, </w:t>
      </w:r>
      <w:proofErr w:type="spellStart"/>
      <w:r w:rsidR="009F79EB" w:rsidRPr="0094208A">
        <w:rPr>
          <w:rFonts w:ascii="Tahoma" w:eastAsia="Tahoma" w:hAnsi="Tahoma" w:cs="Tahoma"/>
          <w:sz w:val="24"/>
          <w:szCs w:val="24"/>
        </w:rPr>
        <w:t>B</w:t>
      </w:r>
      <w:r w:rsidR="00F30491" w:rsidRPr="0094208A">
        <w:rPr>
          <w:rFonts w:ascii="Tahoma" w:eastAsia="Tahoma" w:hAnsi="Tahoma" w:cs="Tahoma"/>
          <w:sz w:val="24"/>
          <w:szCs w:val="24"/>
        </w:rPr>
        <w:t>o</w:t>
      </w:r>
      <w:r w:rsidR="009F79EB" w:rsidRPr="0094208A">
        <w:rPr>
          <w:rFonts w:ascii="Tahoma" w:eastAsia="Tahoma" w:hAnsi="Tahoma" w:cs="Tahoma"/>
          <w:sz w:val="24"/>
          <w:szCs w:val="24"/>
        </w:rPr>
        <w:t>taneros</w:t>
      </w:r>
      <w:proofErr w:type="spellEnd"/>
      <w:r w:rsidR="009F79EB" w:rsidRPr="0094208A">
        <w:rPr>
          <w:rFonts w:ascii="Tahoma" w:eastAsia="Tahoma" w:hAnsi="Tahoma" w:cs="Tahoma"/>
          <w:sz w:val="24"/>
          <w:szCs w:val="24"/>
        </w:rPr>
        <w:t xml:space="preserve"> y todo giro</w:t>
      </w:r>
      <w:r w:rsidR="00F30491" w:rsidRPr="0094208A">
        <w:rPr>
          <w:rFonts w:ascii="Tahoma" w:eastAsia="Tahoma" w:hAnsi="Tahoma" w:cs="Tahoma"/>
          <w:sz w:val="24"/>
          <w:szCs w:val="24"/>
        </w:rPr>
        <w:t>,</w:t>
      </w:r>
      <w:r w:rsidR="009F79EB" w:rsidRPr="0094208A">
        <w:rPr>
          <w:rFonts w:ascii="Tahoma" w:eastAsia="Tahoma" w:hAnsi="Tahoma" w:cs="Tahoma"/>
          <w:sz w:val="24"/>
          <w:szCs w:val="24"/>
        </w:rPr>
        <w:t xml:space="preserve"> donde se vendan o consuman bebidas alcohólicas, con el objeto de prevenir la comisión de actividades ilícitas</w:t>
      </w:r>
      <w:r w:rsidR="00F30491" w:rsidRPr="0094208A">
        <w:rPr>
          <w:rFonts w:ascii="Tahoma" w:eastAsia="Tahoma" w:hAnsi="Tahoma" w:cs="Tahoma"/>
          <w:sz w:val="24"/>
          <w:szCs w:val="24"/>
        </w:rPr>
        <w:t xml:space="preserve"> y que</w:t>
      </w:r>
      <w:r w:rsidR="006430A3" w:rsidRPr="0094208A">
        <w:rPr>
          <w:rFonts w:ascii="Tahoma" w:eastAsia="Tahoma" w:hAnsi="Tahoma" w:cs="Tahoma"/>
          <w:sz w:val="24"/>
          <w:szCs w:val="24"/>
        </w:rPr>
        <w:t>,</w:t>
      </w:r>
      <w:r w:rsidR="00F30491" w:rsidRPr="0094208A">
        <w:rPr>
          <w:rFonts w:ascii="Tahoma" w:eastAsia="Tahoma" w:hAnsi="Tahoma" w:cs="Tahoma"/>
          <w:sz w:val="24"/>
          <w:szCs w:val="24"/>
        </w:rPr>
        <w:t xml:space="preserve"> se informe a esta soberaní</w:t>
      </w:r>
      <w:r w:rsidR="006430A3" w:rsidRPr="0094208A">
        <w:rPr>
          <w:rFonts w:ascii="Tahoma" w:eastAsia="Tahoma" w:hAnsi="Tahoma" w:cs="Tahoma"/>
          <w:sz w:val="24"/>
          <w:szCs w:val="24"/>
        </w:rPr>
        <w:t>a</w:t>
      </w:r>
      <w:r w:rsidR="00F30491" w:rsidRPr="0094208A">
        <w:rPr>
          <w:rFonts w:ascii="Tahoma" w:eastAsia="Tahoma" w:hAnsi="Tahoma" w:cs="Tahoma"/>
          <w:sz w:val="24"/>
          <w:szCs w:val="24"/>
        </w:rPr>
        <w:t xml:space="preserve">, en un plazo de tres meses, a partir de la </w:t>
      </w:r>
      <w:r w:rsidR="00645B09" w:rsidRPr="0094208A">
        <w:rPr>
          <w:rFonts w:ascii="Tahoma" w:eastAsia="Tahoma" w:hAnsi="Tahoma" w:cs="Tahoma"/>
          <w:sz w:val="24"/>
          <w:szCs w:val="24"/>
        </w:rPr>
        <w:t xml:space="preserve">publicación y </w:t>
      </w:r>
      <w:r w:rsidR="00F30491" w:rsidRPr="0094208A">
        <w:rPr>
          <w:rFonts w:ascii="Tahoma" w:eastAsia="Tahoma" w:hAnsi="Tahoma" w:cs="Tahoma"/>
          <w:sz w:val="24"/>
          <w:szCs w:val="24"/>
        </w:rPr>
        <w:t>notificación de este acuerdo,</w:t>
      </w:r>
      <w:r w:rsidR="008E17E6">
        <w:rPr>
          <w:rFonts w:ascii="Tahoma" w:eastAsia="Tahoma" w:hAnsi="Tahoma" w:cs="Tahoma"/>
          <w:sz w:val="24"/>
          <w:szCs w:val="24"/>
        </w:rPr>
        <w:t xml:space="preserve"> acerca de</w:t>
      </w:r>
      <w:r w:rsidR="00F30491" w:rsidRPr="0094208A">
        <w:rPr>
          <w:rFonts w:ascii="Tahoma" w:eastAsia="Tahoma" w:hAnsi="Tahoma" w:cs="Tahoma"/>
          <w:sz w:val="24"/>
          <w:szCs w:val="24"/>
        </w:rPr>
        <w:t xml:space="preserve"> las acciones y medidas realizadas.</w:t>
      </w:r>
    </w:p>
    <w:p w14:paraId="49C1A9F5" w14:textId="77777777" w:rsidR="00F71642" w:rsidRPr="00B36308" w:rsidRDefault="00F71642" w:rsidP="00A67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12"/>
          <w:szCs w:val="24"/>
        </w:rPr>
      </w:pPr>
    </w:p>
    <w:p w14:paraId="25A206B4" w14:textId="77777777" w:rsidR="007171DF" w:rsidRDefault="009F79EB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>ATENTAMENTE</w:t>
      </w:r>
    </w:p>
    <w:p w14:paraId="53E7F40B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CUATRO VECES HEROICA PUEBLA DE ZARAGOZA</w:t>
      </w:r>
    </w:p>
    <w:p w14:paraId="048A1CDF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 </w:t>
      </w:r>
      <w:r w:rsidR="00F71642">
        <w:rPr>
          <w:rFonts w:ascii="Tahoma" w:eastAsia="Tahoma" w:hAnsi="Tahoma" w:cs="Tahoma"/>
          <w:b/>
          <w:sz w:val="24"/>
          <w:szCs w:val="24"/>
        </w:rPr>
        <w:t>04</w:t>
      </w:r>
      <w:r>
        <w:rPr>
          <w:rFonts w:ascii="Tahoma" w:eastAsia="Tahoma" w:hAnsi="Tahoma" w:cs="Tahoma"/>
          <w:b/>
          <w:sz w:val="24"/>
          <w:szCs w:val="24"/>
        </w:rPr>
        <w:t xml:space="preserve"> DE </w:t>
      </w:r>
      <w:r w:rsidR="00D870CA">
        <w:rPr>
          <w:rFonts w:ascii="Tahoma" w:eastAsia="Tahoma" w:hAnsi="Tahoma" w:cs="Tahoma"/>
          <w:b/>
          <w:sz w:val="24"/>
          <w:szCs w:val="24"/>
        </w:rPr>
        <w:t>FEBRE</w:t>
      </w:r>
      <w:r>
        <w:rPr>
          <w:rFonts w:ascii="Tahoma" w:eastAsia="Tahoma" w:hAnsi="Tahoma" w:cs="Tahoma"/>
          <w:b/>
          <w:sz w:val="24"/>
          <w:szCs w:val="24"/>
        </w:rPr>
        <w:t>RO DE 2020</w:t>
      </w:r>
    </w:p>
    <w:p w14:paraId="41824671" w14:textId="77777777" w:rsidR="007171DF" w:rsidRPr="0094158E" w:rsidRDefault="007171DF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0"/>
          <w:szCs w:val="24"/>
        </w:rPr>
      </w:pPr>
    </w:p>
    <w:p w14:paraId="3DD53611" w14:textId="77777777" w:rsidR="007171DF" w:rsidRDefault="007171DF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sz w:val="24"/>
          <w:szCs w:val="24"/>
        </w:rPr>
      </w:pPr>
    </w:p>
    <w:p w14:paraId="3787FBEC" w14:textId="77777777" w:rsidR="007171DF" w:rsidRPr="0094158E" w:rsidRDefault="007171DF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szCs w:val="24"/>
        </w:rPr>
      </w:pPr>
    </w:p>
    <w:p w14:paraId="76D86D17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DIPUTADA ALEJANDRA GUADALUPE ESQUITÍN LASTIRI</w:t>
      </w:r>
    </w:p>
    <w:p w14:paraId="67DDFBD2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INTEGRANTE DEL GRUPO LEGISLATIVO</w:t>
      </w:r>
    </w:p>
    <w:p w14:paraId="4A1299DB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 MOVIMIENTO CIUDADANO PARTIDO POLÍTICO</w:t>
      </w:r>
    </w:p>
    <w:p w14:paraId="46A535FC" w14:textId="77777777" w:rsidR="007171DF" w:rsidRDefault="007171DF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4B14CCB4" w14:textId="77777777" w:rsidR="007171DF" w:rsidRPr="0094158E" w:rsidRDefault="007171DF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8"/>
          <w:szCs w:val="24"/>
        </w:rPr>
      </w:pPr>
    </w:p>
    <w:p w14:paraId="77FDEC28" w14:textId="77777777" w:rsidR="007171DF" w:rsidRPr="0094158E" w:rsidRDefault="007171DF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14"/>
          <w:szCs w:val="24"/>
        </w:rPr>
      </w:pPr>
    </w:p>
    <w:p w14:paraId="6359A168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DIPUTADO CARLOS ALBERTO MORALES ÁLVAREZ</w:t>
      </w:r>
    </w:p>
    <w:p w14:paraId="0091FBC3" w14:textId="77777777" w:rsidR="00CA5C85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COORDINADOR DEL GRUPO LEGISLATIVO </w:t>
      </w:r>
    </w:p>
    <w:p w14:paraId="7B74074E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 MOVIMIENTO CIUDADANO PARTIDO POLÍTICO</w:t>
      </w:r>
    </w:p>
    <w:p w14:paraId="2D4946A1" w14:textId="77777777" w:rsidR="007171DF" w:rsidRDefault="007171DF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F276747" w14:textId="77777777" w:rsidR="00F71642" w:rsidRDefault="00F71642" w:rsidP="003068BB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55B1F1FF" w14:textId="77777777" w:rsidR="00F71642" w:rsidRDefault="00F71642" w:rsidP="003068BB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269DB05C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DIPUTADO URUVIEL GONZÁLEZ VIEYRA</w:t>
      </w:r>
    </w:p>
    <w:p w14:paraId="0A838268" w14:textId="77777777" w:rsidR="00CA5C85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REPRESENTANTE LEGISLATIVO DE </w:t>
      </w:r>
    </w:p>
    <w:p w14:paraId="722E801B" w14:textId="77777777" w:rsidR="007171DF" w:rsidRDefault="009F79EB" w:rsidP="00CA5C85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COMPROMISO POR PUEBLA</w:t>
      </w:r>
      <w:r w:rsidR="00CA5C85"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PARTIDO POLÍTICO</w:t>
      </w:r>
    </w:p>
    <w:p w14:paraId="7CF59214" w14:textId="77777777" w:rsidR="003068BB" w:rsidRDefault="003068BB" w:rsidP="0094158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73F1F649" w14:textId="77777777" w:rsidR="0094158E" w:rsidRDefault="0094158E" w:rsidP="0094158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24823373" w14:textId="77777777" w:rsidR="00CA5C85" w:rsidRDefault="00CA5C85" w:rsidP="0094158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31FC9008" w14:textId="77777777" w:rsidR="00CA5C85" w:rsidRDefault="00CA5C85" w:rsidP="0094158E">
      <w:pPr>
        <w:tabs>
          <w:tab w:val="left" w:pos="1575"/>
        </w:tabs>
        <w:spacing w:after="0" w:line="360" w:lineRule="auto"/>
        <w:rPr>
          <w:rFonts w:ascii="Tahoma" w:eastAsia="Tahoma" w:hAnsi="Tahoma" w:cs="Tahoma"/>
          <w:b/>
          <w:sz w:val="24"/>
          <w:szCs w:val="24"/>
        </w:rPr>
      </w:pPr>
    </w:p>
    <w:p w14:paraId="412E40CC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DIPUTADO JOSÉ ARMANDO GARCÍA AVENDAÑO</w:t>
      </w:r>
    </w:p>
    <w:p w14:paraId="2678AD4D" w14:textId="77777777" w:rsidR="00CA5C85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INTEGRANTE DEL GRUPO LEGISLATIVO DEL </w:t>
      </w:r>
    </w:p>
    <w:p w14:paraId="7E9D189E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PARTIDO DE LA REVOLUCIÓN DEMOCRÁTICA</w:t>
      </w:r>
    </w:p>
    <w:p w14:paraId="6BC667B2" w14:textId="77777777" w:rsidR="007171DF" w:rsidRDefault="007171DF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5851312" w14:textId="77777777" w:rsidR="007171DF" w:rsidRDefault="007171DF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4D3979AC" w14:textId="77777777" w:rsidR="007171DF" w:rsidRDefault="007171DF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0FD970C" w14:textId="77777777" w:rsidR="007171DF" w:rsidRDefault="009F79EB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DIPUTADA LILIANA LUNA AGUIRRE</w:t>
      </w:r>
    </w:p>
    <w:p w14:paraId="0B987FDA" w14:textId="77777777" w:rsidR="00CA5C85" w:rsidRDefault="009F79EB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COORDINADOR</w:t>
      </w:r>
      <w:r w:rsidR="004D6810"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 xml:space="preserve"> DEL GRUPO LEGISLATIVO DEL </w:t>
      </w:r>
    </w:p>
    <w:p w14:paraId="746D9586" w14:textId="77777777" w:rsidR="007171DF" w:rsidRDefault="009F79EB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PARTIDO DE LA REVOLUCIÓN DEMOCRÁTICA</w:t>
      </w:r>
    </w:p>
    <w:p w14:paraId="2B0E32E3" w14:textId="77777777" w:rsidR="00F71642" w:rsidRDefault="00F71642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5AC2F605" w14:textId="77777777" w:rsidR="0094158E" w:rsidRDefault="0094158E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4650991" w14:textId="77777777" w:rsidR="0094158E" w:rsidRDefault="0094158E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332CBACC" w14:textId="77777777" w:rsidR="0094158E" w:rsidRDefault="0094158E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HÉCTOR EDUARDO ALONSO GRANADOS</w:t>
      </w:r>
    </w:p>
    <w:p w14:paraId="5606E3A6" w14:textId="77777777" w:rsidR="00CA5C85" w:rsidRDefault="0094158E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94158E">
        <w:rPr>
          <w:rFonts w:ascii="Tahoma" w:eastAsia="Tahoma" w:hAnsi="Tahoma" w:cs="Tahoma"/>
          <w:b/>
          <w:sz w:val="24"/>
          <w:szCs w:val="24"/>
        </w:rPr>
        <w:t xml:space="preserve">INTEGRANTE DE LA SEXAGÉSIMA LEGISLATURA </w:t>
      </w:r>
    </w:p>
    <w:p w14:paraId="61583257" w14:textId="77777777" w:rsidR="0094158E" w:rsidRDefault="0094158E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94158E">
        <w:rPr>
          <w:rFonts w:ascii="Tahoma" w:eastAsia="Tahoma" w:hAnsi="Tahoma" w:cs="Tahoma"/>
          <w:b/>
          <w:sz w:val="24"/>
          <w:szCs w:val="24"/>
        </w:rPr>
        <w:t>DEL HONORABLE CONGRESO DEL ESTADO</w:t>
      </w:r>
    </w:p>
    <w:p w14:paraId="0F90280C" w14:textId="77777777" w:rsidR="0094158E" w:rsidRDefault="0094158E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285D122D" w14:textId="77777777" w:rsidR="0094158E" w:rsidRPr="001C4D19" w:rsidRDefault="0094158E" w:rsidP="001C4D19">
      <w:pPr>
        <w:tabs>
          <w:tab w:val="left" w:pos="1575"/>
        </w:tabs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158F1C92" w14:textId="77777777" w:rsidR="007171DF" w:rsidRPr="003068BB" w:rsidRDefault="003068BB" w:rsidP="003068BB">
      <w:pPr>
        <w:spacing w:before="240" w:after="0" w:line="240" w:lineRule="auto"/>
        <w:jc w:val="both"/>
        <w:rPr>
          <w:rFonts w:ascii="Tahoma" w:eastAsia="Tahoma" w:hAnsi="Tahoma" w:cs="Tahoma"/>
          <w:b/>
          <w:color w:val="000000"/>
          <w:sz w:val="18"/>
          <w:szCs w:val="18"/>
        </w:rPr>
      </w:pPr>
      <w:r w:rsidRPr="003068BB">
        <w:rPr>
          <w:rFonts w:ascii="Tahoma" w:eastAsia="Tahoma" w:hAnsi="Tahoma" w:cs="Tahoma"/>
          <w:b/>
          <w:sz w:val="18"/>
          <w:szCs w:val="18"/>
        </w:rPr>
        <w:t xml:space="preserve">ESTA HOJA DE FIRMAS CORRESPONDE A LA INICIATIVA DE PUNTO DE ACUERDO POR </w:t>
      </w:r>
      <w:r w:rsidR="00FD2EAB">
        <w:rPr>
          <w:rFonts w:ascii="Tahoma" w:eastAsia="Tahoma" w:hAnsi="Tahoma" w:cs="Tahoma"/>
          <w:b/>
          <w:sz w:val="18"/>
          <w:szCs w:val="18"/>
        </w:rPr>
        <w:t xml:space="preserve"> LA QUE SE EXHORTA </w:t>
      </w:r>
      <w:r w:rsidRPr="003068BB">
        <w:rPr>
          <w:rFonts w:ascii="Tahoma" w:eastAsia="Tahoma" w:hAnsi="Tahoma" w:cs="Tahoma"/>
          <w:b/>
          <w:sz w:val="18"/>
          <w:szCs w:val="18"/>
        </w:rPr>
        <w:t>RESPETUOSAMENTE A LOS 217 MUNICIPIOS, A QUE SE IMPLEMENTEN, CON ESTRICTO DERECHO, MEDIDAS ADMINISTRATIVAS Y DE SEGURIDAD, PARA VIGILAR, REGULAR O EN SU CASO CLAUSURAR: LOS CENTROS NOCTURNOS, BARES, CANTINAS, DISCOTECAS, KARAOKES, CENTROS DE BAILE, SALONES, BOTANEROS Y TODO GIRO, DONDE SE VENDAN O CONSUMAN BEBIDAS ALCOHÓLICAS, CON EL OBJETO DE PREVENIR LA COMISIÓN DE ACTIVIDADES ILÍCITAS Y QUE, SE INFORME A ESTA SOBERANÍA, EN UN PLAZO DE TRES MESES, A PARTIR DE LA PUBLICACIÓN Y NOTIFICACIÓN DE ESTE ACUERDO, LAS ACCIONES Y MEDIDAS REALIZADAS.</w:t>
      </w:r>
    </w:p>
    <w:p w14:paraId="2E47C6CF" w14:textId="77777777" w:rsidR="007171DF" w:rsidRDefault="007171DF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sectPr w:rsidR="007171D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67" w:bottom="1418" w:left="1701" w:header="708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2138" w14:textId="77777777" w:rsidR="002D601E" w:rsidRDefault="002D601E">
      <w:pPr>
        <w:spacing w:after="0" w:line="240" w:lineRule="auto"/>
      </w:pPr>
      <w:r>
        <w:separator/>
      </w:r>
    </w:p>
  </w:endnote>
  <w:endnote w:type="continuationSeparator" w:id="0">
    <w:p w14:paraId="41B16196" w14:textId="77777777" w:rsidR="002D601E" w:rsidRDefault="002D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6A702" w14:textId="77777777" w:rsidR="007171DF" w:rsidRDefault="009F7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FD2EAB">
      <w:rPr>
        <w:noProof/>
        <w:color w:val="000000"/>
        <w:sz w:val="26"/>
        <w:szCs w:val="26"/>
      </w:rPr>
      <w:t>6</w:t>
    </w:r>
    <w:r>
      <w:rPr>
        <w:color w:val="000000"/>
        <w:sz w:val="26"/>
        <w:szCs w:val="26"/>
      </w:rPr>
      <w:fldChar w:fldCharType="end"/>
    </w:r>
  </w:p>
  <w:p w14:paraId="3541E7F8" w14:textId="77777777" w:rsidR="007171DF" w:rsidRDefault="009F7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jc w:val="center"/>
      <w:rPr>
        <w:rFonts w:ascii="Gotham Book" w:eastAsia="Gotham Book" w:hAnsi="Gotham Book" w:cs="Gotham Book"/>
        <w:color w:val="000000"/>
        <w:sz w:val="20"/>
        <w:szCs w:val="20"/>
      </w:rPr>
    </w:pPr>
    <w:proofErr w:type="spellStart"/>
    <w:r>
      <w:rPr>
        <w:rFonts w:ascii="Gotham Book" w:eastAsia="Gotham Book" w:hAnsi="Gotham Book" w:cs="Gotham Book"/>
        <w:color w:val="000000"/>
        <w:sz w:val="20"/>
        <w:szCs w:val="20"/>
      </w:rPr>
      <w:t>Av</w:t>
    </w:r>
    <w:proofErr w:type="spellEnd"/>
    <w:r>
      <w:rPr>
        <w:rFonts w:ascii="Gotham Book" w:eastAsia="Gotham Book" w:hAnsi="Gotham Book" w:cs="Gotham Book"/>
        <w:color w:val="000000"/>
        <w:sz w:val="20"/>
        <w:szCs w:val="20"/>
      </w:rPr>
      <w:t xml:space="preserve"> 5 </w:t>
    </w:r>
    <w:proofErr w:type="spellStart"/>
    <w:r>
      <w:rPr>
        <w:rFonts w:ascii="Gotham Book" w:eastAsia="Gotham Book" w:hAnsi="Gotham Book" w:cs="Gotham Book"/>
        <w:color w:val="000000"/>
        <w:sz w:val="20"/>
        <w:szCs w:val="20"/>
      </w:rPr>
      <w:t>Pte</w:t>
    </w:r>
    <w:proofErr w:type="spellEnd"/>
    <w:r>
      <w:rPr>
        <w:rFonts w:ascii="Gotham Book" w:eastAsia="Gotham Book" w:hAnsi="Gotham Book" w:cs="Gotham Book"/>
        <w:color w:val="000000"/>
        <w:sz w:val="20"/>
        <w:szCs w:val="20"/>
      </w:rPr>
      <w:t xml:space="preserve"> 128, Col Centro, C.P. 72000 Puebla, Pue.</w:t>
    </w:r>
  </w:p>
  <w:p w14:paraId="3C6CF2AE" w14:textId="77777777" w:rsidR="007171DF" w:rsidRDefault="009F7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jc w:val="center"/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color w:val="000000"/>
        <w:sz w:val="20"/>
        <w:szCs w:val="20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2FFE" w14:textId="77777777" w:rsidR="002D601E" w:rsidRDefault="002D601E">
      <w:pPr>
        <w:spacing w:after="0" w:line="240" w:lineRule="auto"/>
      </w:pPr>
      <w:r>
        <w:separator/>
      </w:r>
    </w:p>
  </w:footnote>
  <w:footnote w:type="continuationSeparator" w:id="0">
    <w:p w14:paraId="124908C0" w14:textId="77777777" w:rsidR="002D601E" w:rsidRDefault="002D601E">
      <w:pPr>
        <w:spacing w:after="0" w:line="240" w:lineRule="auto"/>
      </w:pPr>
      <w:r>
        <w:continuationSeparator/>
      </w:r>
    </w:p>
  </w:footnote>
  <w:footnote w:id="1">
    <w:p w14:paraId="542B4E2A" w14:textId="77777777" w:rsidR="007171DF" w:rsidRPr="001B28E0" w:rsidRDefault="009F7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B28E0">
        <w:rPr>
          <w:rFonts w:ascii="Tahoma" w:hAnsi="Tahoma" w:cs="Tahoma"/>
          <w:sz w:val="20"/>
          <w:szCs w:val="20"/>
          <w:vertAlign w:val="superscript"/>
        </w:rPr>
        <w:footnoteRef/>
      </w:r>
      <w:r w:rsidR="00780007" w:rsidRPr="001B28E0">
        <w:rPr>
          <w:rFonts w:ascii="Tahoma" w:hAnsi="Tahoma" w:cs="Tahoma"/>
          <w:sz w:val="20"/>
          <w:szCs w:val="20"/>
        </w:rPr>
        <w:t xml:space="preserve">Álvarez, </w:t>
      </w:r>
      <w:r w:rsidR="00C31E45" w:rsidRPr="001B28E0">
        <w:rPr>
          <w:rFonts w:ascii="Tahoma" w:hAnsi="Tahoma" w:cs="Tahoma"/>
          <w:sz w:val="20"/>
          <w:szCs w:val="20"/>
        </w:rPr>
        <w:t>M</w:t>
      </w:r>
      <w:r w:rsidR="00780007" w:rsidRPr="001B28E0">
        <w:rPr>
          <w:rFonts w:ascii="Tahoma" w:hAnsi="Tahoma" w:cs="Tahoma"/>
          <w:sz w:val="20"/>
          <w:szCs w:val="20"/>
        </w:rPr>
        <w:t>anuel. 1994, “Seguridad y Bienestar Social”, en Cuadernos de Trabajo Social no. 7, 23 pp. Disponible en: https://dialnet.unirioja.es/servlet/articulo?codigo=618777.</w:t>
      </w:r>
    </w:p>
  </w:footnote>
  <w:footnote w:id="2">
    <w:p w14:paraId="1C6292A0" w14:textId="77777777" w:rsidR="007171DF" w:rsidRPr="001B28E0" w:rsidRDefault="009F7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B28E0">
        <w:rPr>
          <w:rFonts w:ascii="Tahoma" w:hAnsi="Tahoma" w:cs="Tahoma"/>
          <w:sz w:val="20"/>
          <w:szCs w:val="20"/>
          <w:vertAlign w:val="superscript"/>
        </w:rPr>
        <w:footnoteRef/>
      </w:r>
      <w:r w:rsidR="001B28E0">
        <w:rPr>
          <w:rFonts w:ascii="Tahoma" w:hAnsi="Tahoma" w:cs="Tahoma"/>
          <w:color w:val="000000"/>
          <w:sz w:val="20"/>
          <w:szCs w:val="20"/>
        </w:rPr>
        <w:t xml:space="preserve"> Artículo 21, P</w:t>
      </w:r>
      <w:r w:rsidRPr="001B28E0">
        <w:rPr>
          <w:rFonts w:ascii="Tahoma" w:hAnsi="Tahoma" w:cs="Tahoma"/>
          <w:color w:val="000000"/>
          <w:sz w:val="20"/>
          <w:szCs w:val="20"/>
        </w:rPr>
        <w:t>árrafo 9º de la Constitución Política de los Estados Unidos Mexicanos.</w:t>
      </w:r>
      <w:r w:rsidR="00780007" w:rsidRPr="001B28E0">
        <w:rPr>
          <w:rFonts w:ascii="Tahoma" w:hAnsi="Tahoma" w:cs="Tahoma"/>
          <w:color w:val="000000"/>
          <w:sz w:val="20"/>
          <w:szCs w:val="20"/>
        </w:rPr>
        <w:t xml:space="preserve"> Última Reforma: 20 de diciembre de 2019.</w:t>
      </w:r>
    </w:p>
  </w:footnote>
  <w:footnote w:id="3">
    <w:p w14:paraId="0C9FD726" w14:textId="77777777" w:rsidR="007171DF" w:rsidRDefault="009F7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1B28E0">
        <w:rPr>
          <w:rFonts w:ascii="Tahoma" w:hAnsi="Tahoma" w:cs="Tahoma"/>
          <w:sz w:val="20"/>
          <w:szCs w:val="20"/>
          <w:vertAlign w:val="superscript"/>
        </w:rPr>
        <w:footnoteRef/>
      </w:r>
      <w:r w:rsidRPr="001B28E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20FD" w:rsidRPr="001B28E0">
        <w:rPr>
          <w:rFonts w:ascii="Tahoma" w:hAnsi="Tahoma" w:cs="Tahoma"/>
          <w:color w:val="000000"/>
          <w:sz w:val="20"/>
          <w:szCs w:val="20"/>
        </w:rPr>
        <w:t xml:space="preserve">Consejo Nacional de Seguridad Pública, 2011, </w:t>
      </w:r>
      <w:r w:rsidRPr="001B28E0">
        <w:rPr>
          <w:rFonts w:ascii="Tahoma" w:hAnsi="Tahoma" w:cs="Tahoma"/>
          <w:color w:val="000000"/>
          <w:sz w:val="20"/>
          <w:szCs w:val="20"/>
        </w:rPr>
        <w:t>L</w:t>
      </w:r>
      <w:r w:rsidR="003220FD" w:rsidRPr="001B28E0">
        <w:rPr>
          <w:rFonts w:ascii="Tahoma" w:hAnsi="Tahoma" w:cs="Tahoma"/>
          <w:color w:val="000000"/>
          <w:sz w:val="20"/>
          <w:szCs w:val="20"/>
        </w:rPr>
        <w:t>ineamientos</w:t>
      </w:r>
      <w:r w:rsidRPr="001B28E0">
        <w:rPr>
          <w:rFonts w:ascii="Tahoma" w:hAnsi="Tahoma" w:cs="Tahoma"/>
          <w:color w:val="000000"/>
          <w:sz w:val="20"/>
          <w:szCs w:val="20"/>
        </w:rPr>
        <w:t xml:space="preserve"> de la Política de Prevención Social de la Violencia, la Delincuencia y la Participación Ciudadana. </w:t>
      </w:r>
      <w:r w:rsidR="003220FD" w:rsidRPr="001B28E0">
        <w:rPr>
          <w:rFonts w:ascii="Tahoma" w:hAnsi="Tahoma" w:cs="Tahoma"/>
          <w:color w:val="000000"/>
          <w:sz w:val="20"/>
          <w:szCs w:val="20"/>
        </w:rPr>
        <w:t>Diario Oficial de la Federación. Disponible en: http://dof.gob.mx/nota_detalle.php?codigo=5175723&amp;fecha=26/01/2011.</w:t>
      </w:r>
    </w:p>
  </w:footnote>
  <w:footnote w:id="4">
    <w:p w14:paraId="6B0D8A2B" w14:textId="77777777" w:rsidR="0084666B" w:rsidRPr="001C4D19" w:rsidRDefault="0084666B" w:rsidP="001C4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0660">
        <w:rPr>
          <w:rFonts w:ascii="Tahoma" w:hAnsi="Tahoma" w:cs="Tahoma"/>
          <w:sz w:val="20"/>
          <w:szCs w:val="20"/>
          <w:vertAlign w:val="superscript"/>
        </w:rPr>
        <w:footnoteRef/>
      </w:r>
      <w:r w:rsidRPr="0053066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86836" w:rsidRPr="00530660">
        <w:rPr>
          <w:rFonts w:ascii="Tahoma" w:hAnsi="Tahoma" w:cs="Tahoma"/>
          <w:color w:val="000000"/>
          <w:sz w:val="20"/>
          <w:szCs w:val="20"/>
        </w:rPr>
        <w:t xml:space="preserve">Velázquez, Lena, </w:t>
      </w:r>
      <w:r w:rsidR="00D97B22">
        <w:rPr>
          <w:rFonts w:ascii="Tahoma" w:hAnsi="Tahoma" w:cs="Tahoma"/>
          <w:color w:val="000000"/>
          <w:sz w:val="20"/>
          <w:szCs w:val="20"/>
        </w:rPr>
        <w:t xml:space="preserve">7 de septiembre de </w:t>
      </w:r>
      <w:r w:rsidR="00D86836" w:rsidRPr="00530660">
        <w:rPr>
          <w:rFonts w:ascii="Tahoma" w:hAnsi="Tahoma" w:cs="Tahoma"/>
          <w:color w:val="000000"/>
          <w:sz w:val="20"/>
          <w:szCs w:val="20"/>
        </w:rPr>
        <w:t xml:space="preserve">2019, Encuentran droga en antro de Atlixco tras operativo de la GN, </w:t>
      </w:r>
      <w:r w:rsidR="00D86836" w:rsidRPr="00530660">
        <w:rPr>
          <w:rFonts w:ascii="Tahoma" w:hAnsi="Tahoma" w:cs="Tahoma"/>
          <w:i/>
          <w:color w:val="000000"/>
          <w:sz w:val="20"/>
          <w:szCs w:val="20"/>
        </w:rPr>
        <w:t>MunicipiosPuebla.mx</w:t>
      </w:r>
      <w:r w:rsidR="00D86836" w:rsidRPr="00530660">
        <w:rPr>
          <w:rFonts w:ascii="Tahoma" w:hAnsi="Tahoma" w:cs="Tahoma"/>
          <w:color w:val="000000"/>
          <w:sz w:val="20"/>
          <w:szCs w:val="20"/>
        </w:rPr>
        <w:t xml:space="preserve">, disponible en: </w:t>
      </w:r>
      <w:r w:rsidRPr="00530660">
        <w:rPr>
          <w:rFonts w:ascii="Tahoma" w:hAnsi="Tahoma" w:cs="Tahoma"/>
          <w:sz w:val="20"/>
          <w:szCs w:val="20"/>
        </w:rPr>
        <w:t>http://municipiospuebla.mx/nota/2019-09-07/atlixco/encuentran-droga-en-antro-de-atlixco-tras-operativo-de-la-gn</w:t>
      </w:r>
      <w:r w:rsidR="00D86836" w:rsidRPr="00530660">
        <w:rPr>
          <w:rFonts w:ascii="Tahoma" w:hAnsi="Tahoma" w:cs="Tahoma"/>
          <w:color w:val="000000"/>
          <w:sz w:val="20"/>
          <w:szCs w:val="20"/>
        </w:rPr>
        <w:t xml:space="preserve">; </w:t>
      </w:r>
      <w:proofErr w:type="spellStart"/>
      <w:r w:rsidR="00530660" w:rsidRPr="00530660">
        <w:rPr>
          <w:rFonts w:ascii="Tahoma" w:hAnsi="Tahoma" w:cs="Tahoma"/>
          <w:color w:val="000000"/>
          <w:sz w:val="20"/>
          <w:szCs w:val="20"/>
        </w:rPr>
        <w:t>Tepox</w:t>
      </w:r>
      <w:proofErr w:type="spellEnd"/>
      <w:r w:rsidR="00530660" w:rsidRPr="00530660">
        <w:rPr>
          <w:rFonts w:ascii="Tahoma" w:hAnsi="Tahoma" w:cs="Tahoma"/>
          <w:color w:val="000000"/>
          <w:sz w:val="20"/>
          <w:szCs w:val="20"/>
        </w:rPr>
        <w:t>, Israel, 7 de febrero de 2019, Se han clausurado 6 antros de San Andrés Cholula por venta de drogas y anomalías, confirma ayuntamiento, DesdePuebla.com, disponible en: https://desdepuebla.com/2019/02/07/se-han-clausurado-6-antros-de-san-andres-cholula-por-venta-de-drogas-y-anomalias-confirma-ayuntamiento/;</w:t>
      </w:r>
      <w:r w:rsidRPr="0053066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C215F" w:rsidRPr="00530660">
        <w:rPr>
          <w:rFonts w:ascii="Tahoma" w:hAnsi="Tahoma" w:cs="Tahoma"/>
          <w:sz w:val="20"/>
          <w:szCs w:val="20"/>
        </w:rPr>
        <w:t xml:space="preserve">y </w:t>
      </w:r>
      <w:r w:rsidR="00530660" w:rsidRPr="00530660">
        <w:rPr>
          <w:rFonts w:ascii="Tahoma" w:hAnsi="Tahoma" w:cs="Tahoma"/>
          <w:sz w:val="20"/>
          <w:szCs w:val="20"/>
        </w:rPr>
        <w:t xml:space="preserve">Hernández, </w:t>
      </w:r>
      <w:proofErr w:type="spellStart"/>
      <w:r w:rsidR="00530660" w:rsidRPr="00530660">
        <w:rPr>
          <w:rFonts w:ascii="Tahoma" w:hAnsi="Tahoma" w:cs="Tahoma"/>
          <w:sz w:val="20"/>
          <w:szCs w:val="20"/>
        </w:rPr>
        <w:t>Magarely</w:t>
      </w:r>
      <w:proofErr w:type="spellEnd"/>
      <w:r w:rsidR="00530660" w:rsidRPr="00530660">
        <w:rPr>
          <w:rFonts w:ascii="Tahoma" w:hAnsi="Tahoma" w:cs="Tahoma"/>
          <w:sz w:val="20"/>
          <w:szCs w:val="20"/>
        </w:rPr>
        <w:t xml:space="preserve">, </w:t>
      </w:r>
      <w:r w:rsidR="005D007A">
        <w:rPr>
          <w:rFonts w:ascii="Tahoma" w:hAnsi="Tahoma" w:cs="Tahoma"/>
          <w:sz w:val="20"/>
          <w:szCs w:val="20"/>
        </w:rPr>
        <w:t xml:space="preserve">27 de enero de 2019, </w:t>
      </w:r>
      <w:r w:rsidR="00530660" w:rsidRPr="00530660">
        <w:rPr>
          <w:rFonts w:ascii="Tahoma" w:hAnsi="Tahoma" w:cs="Tahoma"/>
          <w:sz w:val="20"/>
          <w:szCs w:val="20"/>
        </w:rPr>
        <w:t xml:space="preserve">PGR catea bares en Huixcolotla; se localizaron 60 mujeres y un menor de edad, </w:t>
      </w:r>
      <w:r w:rsidR="00530660" w:rsidRPr="00530660">
        <w:rPr>
          <w:rFonts w:ascii="Tahoma" w:hAnsi="Tahoma" w:cs="Tahoma"/>
          <w:i/>
          <w:sz w:val="20"/>
          <w:szCs w:val="20"/>
        </w:rPr>
        <w:t>Periódico Central</w:t>
      </w:r>
      <w:r w:rsidR="00530660" w:rsidRPr="00530660">
        <w:rPr>
          <w:rFonts w:ascii="Tahoma" w:hAnsi="Tahoma" w:cs="Tahoma"/>
          <w:sz w:val="20"/>
          <w:szCs w:val="20"/>
        </w:rPr>
        <w:t xml:space="preserve">, disponible en: </w:t>
      </w:r>
      <w:r w:rsidR="00F40AFD" w:rsidRPr="00F40AFD">
        <w:rPr>
          <w:rFonts w:ascii="Tahoma" w:hAnsi="Tahoma" w:cs="Tahoma"/>
          <w:sz w:val="20"/>
          <w:szCs w:val="20"/>
        </w:rPr>
        <w:t>https://www.periodicocentral.mx/2019/pagina-negra/crimen-y-castigo/item/1878-pgr-catea-bares-en-huixcolotla-se-localizaron-60-mujeres-y-un-menor-de</w:t>
      </w:r>
      <w:r w:rsidR="00F40AFD">
        <w:rPr>
          <w:rFonts w:ascii="Tahoma" w:hAnsi="Tahoma" w:cs="Tahoma"/>
          <w:sz w:val="20"/>
          <w:szCs w:val="20"/>
        </w:rPr>
        <w:t xml:space="preserve"> </w:t>
      </w:r>
      <w:r w:rsidR="00530660" w:rsidRPr="00530660">
        <w:rPr>
          <w:rFonts w:ascii="Tahoma" w:hAnsi="Tahoma" w:cs="Tahoma"/>
          <w:sz w:val="20"/>
          <w:szCs w:val="20"/>
        </w:rPr>
        <w:t>edad#ixzz6D1OezzXt</w:t>
      </w:r>
    </w:p>
  </w:footnote>
  <w:footnote w:id="5">
    <w:p w14:paraId="017A8AC3" w14:textId="77777777" w:rsidR="00285850" w:rsidRPr="0055718E" w:rsidRDefault="00285850" w:rsidP="0055718E">
      <w:pPr>
        <w:pStyle w:val="Textonotapie"/>
        <w:jc w:val="both"/>
        <w:rPr>
          <w:rFonts w:ascii="Tahoma" w:hAnsi="Tahoma" w:cs="Tahoma"/>
        </w:rPr>
      </w:pPr>
      <w:r w:rsidRPr="0055718E">
        <w:rPr>
          <w:rStyle w:val="Refdenotaalpie"/>
          <w:rFonts w:ascii="Tahoma" w:hAnsi="Tahoma" w:cs="Tahoma"/>
        </w:rPr>
        <w:footnoteRef/>
      </w:r>
      <w:r w:rsidRPr="0055718E">
        <w:rPr>
          <w:rFonts w:ascii="Tahoma" w:hAnsi="Tahoma" w:cs="Tahoma"/>
        </w:rPr>
        <w:t xml:space="preserve"> </w:t>
      </w:r>
      <w:r w:rsidR="006118C2" w:rsidRPr="0055718E">
        <w:rPr>
          <w:rFonts w:ascii="Tahoma" w:hAnsi="Tahoma" w:cs="Tahoma"/>
        </w:rPr>
        <w:t>A.G., Rosi</w:t>
      </w:r>
      <w:r w:rsidR="009523CD" w:rsidRPr="0055718E">
        <w:rPr>
          <w:rFonts w:ascii="Tahoma" w:hAnsi="Tahoma" w:cs="Tahoma"/>
        </w:rPr>
        <w:t xml:space="preserve">, </w:t>
      </w:r>
      <w:r w:rsidR="002213ED" w:rsidRPr="0055718E">
        <w:rPr>
          <w:rFonts w:ascii="Tahoma" w:hAnsi="Tahoma" w:cs="Tahoma"/>
        </w:rPr>
        <w:t xml:space="preserve">6 de marzo de </w:t>
      </w:r>
      <w:r w:rsidR="009523CD" w:rsidRPr="0055718E">
        <w:rPr>
          <w:rFonts w:ascii="Tahoma" w:hAnsi="Tahoma" w:cs="Tahoma"/>
        </w:rPr>
        <w:t>2019, El turismo sexual, un fenómeno generalizado en el mundo</w:t>
      </w:r>
      <w:r w:rsidR="006118C2" w:rsidRPr="0055718E">
        <w:rPr>
          <w:rFonts w:ascii="Tahoma" w:hAnsi="Tahoma" w:cs="Tahoma"/>
        </w:rPr>
        <w:t xml:space="preserve">, </w:t>
      </w:r>
      <w:r w:rsidR="006118C2" w:rsidRPr="0055718E">
        <w:rPr>
          <w:rFonts w:ascii="Tahoma" w:hAnsi="Tahoma" w:cs="Tahoma"/>
          <w:i/>
        </w:rPr>
        <w:t>DesdePuebla.com</w:t>
      </w:r>
      <w:r w:rsidR="006118C2" w:rsidRPr="0055718E">
        <w:rPr>
          <w:rFonts w:ascii="Tahoma" w:hAnsi="Tahoma" w:cs="Tahoma"/>
        </w:rPr>
        <w:t xml:space="preserve">, disponible en: </w:t>
      </w:r>
      <w:r w:rsidR="00530660" w:rsidRPr="0055718E">
        <w:rPr>
          <w:rFonts w:ascii="Tahoma" w:hAnsi="Tahoma" w:cs="Tahoma"/>
        </w:rPr>
        <w:t xml:space="preserve">https://desdepuebla.com/2019/03/06/el-turismo-sexual-un-fenomeno-generalizado-en-el-mundo/ y </w:t>
      </w:r>
      <w:r w:rsidR="0016063D" w:rsidRPr="0055718E">
        <w:rPr>
          <w:rFonts w:ascii="Tahoma" w:hAnsi="Tahoma" w:cs="Tahoma"/>
        </w:rPr>
        <w:t xml:space="preserve">Velázquez, Edmundo, 30 de octubre de 2017, La pesadilla del turismo sexual en </w:t>
      </w:r>
      <w:r w:rsidR="002213ED" w:rsidRPr="0055718E">
        <w:rPr>
          <w:rFonts w:ascii="Tahoma" w:hAnsi="Tahoma" w:cs="Tahoma"/>
        </w:rPr>
        <w:t xml:space="preserve">Puebla también se paga en euros, </w:t>
      </w:r>
      <w:r w:rsidR="002213ED" w:rsidRPr="0055718E">
        <w:rPr>
          <w:rFonts w:ascii="Tahoma" w:hAnsi="Tahoma" w:cs="Tahoma"/>
          <w:i/>
        </w:rPr>
        <w:t>Periódico Central</w:t>
      </w:r>
      <w:r w:rsidR="002213ED" w:rsidRPr="0055718E">
        <w:rPr>
          <w:rFonts w:ascii="Tahoma" w:hAnsi="Tahoma" w:cs="Tahoma"/>
        </w:rPr>
        <w:t xml:space="preserve">, disponible en: </w:t>
      </w:r>
      <w:r w:rsidR="0016063D" w:rsidRPr="0055718E">
        <w:rPr>
          <w:rFonts w:ascii="Tahoma" w:hAnsi="Tahoma" w:cs="Tahoma"/>
        </w:rPr>
        <w:t>https://www.periodicocentral.mx/2017/columnistas/cuenta-hasta-10/item/20029-la-pesadilla-del-turismo-sexual-en-puebla-tambien</w:t>
      </w:r>
      <w:r w:rsidR="002213ED" w:rsidRPr="0055718E">
        <w:rPr>
          <w:rFonts w:ascii="Tahoma" w:hAnsi="Tahoma" w:cs="Tahoma"/>
        </w:rPr>
        <w:t>-se-paga-en-euros#ixzz6D1PfFuzZ.</w:t>
      </w:r>
    </w:p>
  </w:footnote>
  <w:footnote w:id="6">
    <w:p w14:paraId="552A071F" w14:textId="77777777" w:rsidR="00F30491" w:rsidRPr="0055718E" w:rsidRDefault="00F30491" w:rsidP="0055718E">
      <w:pPr>
        <w:pStyle w:val="Textonotapie"/>
        <w:jc w:val="both"/>
        <w:rPr>
          <w:rFonts w:ascii="Tahoma" w:hAnsi="Tahoma" w:cs="Tahoma"/>
        </w:rPr>
      </w:pPr>
      <w:r w:rsidRPr="0055718E">
        <w:rPr>
          <w:rStyle w:val="Refdenotaalpie"/>
          <w:rFonts w:ascii="Tahoma" w:hAnsi="Tahoma" w:cs="Tahoma"/>
        </w:rPr>
        <w:footnoteRef/>
      </w:r>
      <w:r w:rsidRPr="0055718E">
        <w:rPr>
          <w:rFonts w:ascii="Tahoma" w:hAnsi="Tahoma" w:cs="Tahoma"/>
        </w:rPr>
        <w:t xml:space="preserve"> </w:t>
      </w:r>
      <w:r w:rsidR="00ED6839" w:rsidRPr="0055718E">
        <w:rPr>
          <w:rFonts w:ascii="Tahoma" w:hAnsi="Tahoma" w:cs="Tahoma"/>
        </w:rPr>
        <w:t xml:space="preserve"> </w:t>
      </w:r>
      <w:r w:rsidR="00F37254" w:rsidRPr="0055718E">
        <w:rPr>
          <w:rFonts w:ascii="Tahoma" w:hAnsi="Tahoma" w:cs="Tahoma"/>
        </w:rPr>
        <w:t>Directorio Estadísti</w:t>
      </w:r>
      <w:r w:rsidR="00134476" w:rsidRPr="0055718E">
        <w:rPr>
          <w:rFonts w:ascii="Tahoma" w:hAnsi="Tahoma" w:cs="Tahoma"/>
        </w:rPr>
        <w:t>co</w:t>
      </w:r>
      <w:r w:rsidR="00F37254" w:rsidRPr="0055718E">
        <w:rPr>
          <w:rFonts w:ascii="Tahoma" w:hAnsi="Tahoma" w:cs="Tahoma"/>
        </w:rPr>
        <w:t xml:space="preserve"> Nacional de Unidades Económicas</w:t>
      </w:r>
      <w:r w:rsidR="00E51955" w:rsidRPr="0055718E">
        <w:rPr>
          <w:rFonts w:ascii="Tahoma" w:hAnsi="Tahoma" w:cs="Tahoma"/>
        </w:rPr>
        <w:t xml:space="preserve"> </w:t>
      </w:r>
      <w:r w:rsidR="00F37254" w:rsidRPr="0055718E">
        <w:rPr>
          <w:rFonts w:ascii="Tahoma" w:hAnsi="Tahoma" w:cs="Tahoma"/>
        </w:rPr>
        <w:t>(DENUE)</w:t>
      </w:r>
      <w:r w:rsidR="0099442F" w:rsidRPr="0055718E">
        <w:rPr>
          <w:rFonts w:ascii="Tahoma" w:hAnsi="Tahoma" w:cs="Tahoma"/>
        </w:rPr>
        <w:t>, 2018 y 2019, disponible en: https://www.inegi.org.mx/temas/directorio/</w:t>
      </w:r>
    </w:p>
  </w:footnote>
  <w:footnote w:id="7">
    <w:p w14:paraId="48601784" w14:textId="77777777" w:rsidR="007171DF" w:rsidRPr="0055718E" w:rsidRDefault="009F79EB" w:rsidP="00557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5718E">
        <w:rPr>
          <w:rFonts w:ascii="Tahoma" w:hAnsi="Tahoma" w:cs="Tahoma"/>
          <w:sz w:val="20"/>
          <w:szCs w:val="20"/>
          <w:vertAlign w:val="superscript"/>
        </w:rPr>
        <w:footnoteRef/>
      </w:r>
      <w:r w:rsidRPr="0055718E">
        <w:rPr>
          <w:rFonts w:ascii="Tahoma" w:hAnsi="Tahoma" w:cs="Tahoma"/>
          <w:color w:val="000000"/>
          <w:sz w:val="20"/>
          <w:szCs w:val="20"/>
        </w:rPr>
        <w:t xml:space="preserve"> Artículo 115 fracción II, de la Constitución Política de los Estados Unidos Mexicanos.</w:t>
      </w:r>
      <w:r w:rsidR="002870D0" w:rsidRPr="0055718E">
        <w:rPr>
          <w:rFonts w:ascii="Tahoma" w:hAnsi="Tahoma" w:cs="Tahoma"/>
          <w:color w:val="000000"/>
          <w:sz w:val="20"/>
          <w:szCs w:val="20"/>
        </w:rPr>
        <w:t xml:space="preserve"> Última Reforma: 20 de diciembre de 2019.</w:t>
      </w:r>
    </w:p>
  </w:footnote>
  <w:footnote w:id="8">
    <w:p w14:paraId="2972ED6F" w14:textId="77777777" w:rsidR="00645B09" w:rsidRPr="0055718E" w:rsidRDefault="00645B09" w:rsidP="0055718E">
      <w:pPr>
        <w:pStyle w:val="Textonotapie"/>
        <w:jc w:val="both"/>
        <w:rPr>
          <w:rFonts w:ascii="Tahoma" w:hAnsi="Tahoma" w:cs="Tahoma"/>
        </w:rPr>
      </w:pPr>
      <w:r w:rsidRPr="0055718E">
        <w:rPr>
          <w:rStyle w:val="Refdenotaalpie"/>
          <w:rFonts w:ascii="Tahoma" w:hAnsi="Tahoma" w:cs="Tahoma"/>
        </w:rPr>
        <w:footnoteRef/>
      </w:r>
      <w:r w:rsidRPr="0055718E">
        <w:rPr>
          <w:rFonts w:ascii="Tahoma" w:hAnsi="Tahoma" w:cs="Tahoma"/>
        </w:rPr>
        <w:t xml:space="preserve"> </w:t>
      </w:r>
      <w:r w:rsidR="0099442F" w:rsidRPr="0055718E">
        <w:rPr>
          <w:rFonts w:ascii="Tahoma" w:hAnsi="Tahoma" w:cs="Tahoma"/>
        </w:rPr>
        <w:t>Artículo 9, de la Ley para la Venta y Suministro de Bebidas Alcohólicas del Estado de Puebla. Publicación: 9 de diciembre de 2013. Sin reformas.</w:t>
      </w:r>
    </w:p>
  </w:footnote>
  <w:footnote w:id="9">
    <w:p w14:paraId="390B83EE" w14:textId="77777777" w:rsidR="007171DF" w:rsidRDefault="009F79EB" w:rsidP="00557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55718E">
        <w:rPr>
          <w:rFonts w:ascii="Tahoma" w:hAnsi="Tahoma" w:cs="Tahoma"/>
          <w:sz w:val="20"/>
          <w:szCs w:val="20"/>
          <w:vertAlign w:val="superscript"/>
        </w:rPr>
        <w:footnoteRef/>
      </w:r>
      <w:r w:rsidR="0055718E" w:rsidRPr="0055718E">
        <w:rPr>
          <w:rFonts w:ascii="Tahoma" w:hAnsi="Tahoma" w:cs="Tahoma"/>
          <w:color w:val="000000"/>
          <w:sz w:val="20"/>
          <w:szCs w:val="20"/>
        </w:rPr>
        <w:t xml:space="preserve"> Arellano, Jessica, 21 de agosto de 2019, Bares y discotecas, punto de articulación del crimen organizado, </w:t>
      </w:r>
      <w:r w:rsidR="0055718E" w:rsidRPr="0055718E">
        <w:rPr>
          <w:rFonts w:ascii="Tahoma" w:hAnsi="Tahoma" w:cs="Tahoma"/>
          <w:i/>
          <w:color w:val="000000"/>
          <w:sz w:val="20"/>
          <w:szCs w:val="20"/>
        </w:rPr>
        <w:t>El Sol de Cuernavaca</w:t>
      </w:r>
      <w:r w:rsidR="0055718E" w:rsidRPr="0055718E">
        <w:rPr>
          <w:rFonts w:ascii="Tahoma" w:hAnsi="Tahoma" w:cs="Tahoma"/>
          <w:color w:val="000000"/>
          <w:sz w:val="20"/>
          <w:szCs w:val="20"/>
        </w:rPr>
        <w:t>, disponible en:</w:t>
      </w:r>
      <w:r w:rsidRPr="005571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5718E">
        <w:rPr>
          <w:rFonts w:ascii="Tahoma" w:hAnsi="Tahoma" w:cs="Tahoma"/>
          <w:sz w:val="20"/>
          <w:szCs w:val="20"/>
        </w:rPr>
        <w:t>https://www.elsoldecuernavaca.com.mx/local/bares-y-discotecas-punto-de-articulacion-del-crimen-organizado-4069533.html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CD11" w14:textId="77777777" w:rsidR="007171DF" w:rsidRDefault="007171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A0D1" w14:textId="77777777" w:rsidR="007171DF" w:rsidRDefault="009F7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17BD98" wp14:editId="34D1154F">
          <wp:extent cx="3108811" cy="136973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8811" cy="1369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4810" w14:textId="77777777" w:rsidR="007171DF" w:rsidRDefault="007171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94BF4"/>
    <w:multiLevelType w:val="multilevel"/>
    <w:tmpl w:val="0CE040B2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DF"/>
    <w:rsid w:val="00023CAB"/>
    <w:rsid w:val="000406F0"/>
    <w:rsid w:val="000A7E55"/>
    <w:rsid w:val="000D5D48"/>
    <w:rsid w:val="000F435C"/>
    <w:rsid w:val="001159DD"/>
    <w:rsid w:val="00127424"/>
    <w:rsid w:val="00134476"/>
    <w:rsid w:val="0015296D"/>
    <w:rsid w:val="0016063D"/>
    <w:rsid w:val="001A4B60"/>
    <w:rsid w:val="001B28E0"/>
    <w:rsid w:val="001B3EF9"/>
    <w:rsid w:val="001B6DC1"/>
    <w:rsid w:val="001C4D19"/>
    <w:rsid w:val="001E76C5"/>
    <w:rsid w:val="002101D7"/>
    <w:rsid w:val="00217B13"/>
    <w:rsid w:val="002213ED"/>
    <w:rsid w:val="00224F30"/>
    <w:rsid w:val="00285850"/>
    <w:rsid w:val="002870D0"/>
    <w:rsid w:val="002959DC"/>
    <w:rsid w:val="002B2E1F"/>
    <w:rsid w:val="002C4252"/>
    <w:rsid w:val="002D601E"/>
    <w:rsid w:val="002F16E8"/>
    <w:rsid w:val="003068BB"/>
    <w:rsid w:val="00307A1F"/>
    <w:rsid w:val="003220FD"/>
    <w:rsid w:val="003317A8"/>
    <w:rsid w:val="00345ECF"/>
    <w:rsid w:val="003563EB"/>
    <w:rsid w:val="00393E8C"/>
    <w:rsid w:val="003C5C65"/>
    <w:rsid w:val="003D4459"/>
    <w:rsid w:val="003E7DC6"/>
    <w:rsid w:val="003F36BA"/>
    <w:rsid w:val="004144CE"/>
    <w:rsid w:val="004275E0"/>
    <w:rsid w:val="004500BB"/>
    <w:rsid w:val="00496320"/>
    <w:rsid w:val="004C215F"/>
    <w:rsid w:val="004D6810"/>
    <w:rsid w:val="00515249"/>
    <w:rsid w:val="00530660"/>
    <w:rsid w:val="0055718E"/>
    <w:rsid w:val="00582D1B"/>
    <w:rsid w:val="00594CEB"/>
    <w:rsid w:val="005D007A"/>
    <w:rsid w:val="00606686"/>
    <w:rsid w:val="006118C2"/>
    <w:rsid w:val="006430A3"/>
    <w:rsid w:val="00645B09"/>
    <w:rsid w:val="00650AB7"/>
    <w:rsid w:val="006B2BE5"/>
    <w:rsid w:val="006B3B2E"/>
    <w:rsid w:val="00716385"/>
    <w:rsid w:val="007171DF"/>
    <w:rsid w:val="007449AC"/>
    <w:rsid w:val="00761739"/>
    <w:rsid w:val="00780007"/>
    <w:rsid w:val="00843CE0"/>
    <w:rsid w:val="0084666B"/>
    <w:rsid w:val="00851010"/>
    <w:rsid w:val="00862098"/>
    <w:rsid w:val="00864DFD"/>
    <w:rsid w:val="008831A3"/>
    <w:rsid w:val="008C078C"/>
    <w:rsid w:val="008E17E6"/>
    <w:rsid w:val="0094158E"/>
    <w:rsid w:val="0094208A"/>
    <w:rsid w:val="009523CD"/>
    <w:rsid w:val="0095640C"/>
    <w:rsid w:val="00961BA5"/>
    <w:rsid w:val="00986F3A"/>
    <w:rsid w:val="0099442F"/>
    <w:rsid w:val="00994A6C"/>
    <w:rsid w:val="009B6428"/>
    <w:rsid w:val="009D0319"/>
    <w:rsid w:val="009D7E2F"/>
    <w:rsid w:val="009F79EB"/>
    <w:rsid w:val="00A0015A"/>
    <w:rsid w:val="00A112D5"/>
    <w:rsid w:val="00A34CD8"/>
    <w:rsid w:val="00A5137E"/>
    <w:rsid w:val="00A67202"/>
    <w:rsid w:val="00AD18A6"/>
    <w:rsid w:val="00AD372D"/>
    <w:rsid w:val="00B01594"/>
    <w:rsid w:val="00B13105"/>
    <w:rsid w:val="00B272EE"/>
    <w:rsid w:val="00B36308"/>
    <w:rsid w:val="00B43E20"/>
    <w:rsid w:val="00BC545D"/>
    <w:rsid w:val="00BC58A1"/>
    <w:rsid w:val="00C0484F"/>
    <w:rsid w:val="00C31E45"/>
    <w:rsid w:val="00C35C9E"/>
    <w:rsid w:val="00C5159F"/>
    <w:rsid w:val="00C87ECC"/>
    <w:rsid w:val="00CA5C85"/>
    <w:rsid w:val="00D21550"/>
    <w:rsid w:val="00D7410B"/>
    <w:rsid w:val="00D86836"/>
    <w:rsid w:val="00D870CA"/>
    <w:rsid w:val="00D952A4"/>
    <w:rsid w:val="00D962BF"/>
    <w:rsid w:val="00D97B22"/>
    <w:rsid w:val="00DA6664"/>
    <w:rsid w:val="00DD10DB"/>
    <w:rsid w:val="00DF344E"/>
    <w:rsid w:val="00E25564"/>
    <w:rsid w:val="00E51955"/>
    <w:rsid w:val="00ED6839"/>
    <w:rsid w:val="00F1500E"/>
    <w:rsid w:val="00F20523"/>
    <w:rsid w:val="00F30491"/>
    <w:rsid w:val="00F37254"/>
    <w:rsid w:val="00F40AFD"/>
    <w:rsid w:val="00F475EE"/>
    <w:rsid w:val="00F670AB"/>
    <w:rsid w:val="00F71642"/>
    <w:rsid w:val="00F72978"/>
    <w:rsid w:val="00FD2EAB"/>
    <w:rsid w:val="00FD69D9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E6C8"/>
  <w15:docId w15:val="{8E3B8AC5-9A72-4CE2-B501-4F6D78B6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1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81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8239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ja-JP"/>
    </w:rPr>
  </w:style>
  <w:style w:type="character" w:customStyle="1" w:styleId="EncabezadoCar">
    <w:name w:val="Encabezado Car"/>
    <w:basedOn w:val="Fuentedeprrafopredeter"/>
    <w:link w:val="Encabezado"/>
    <w:rsid w:val="00782392"/>
    <w:rPr>
      <w:rFonts w:eastAsiaTheme="minorEastAsia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8239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2392"/>
    <w:rPr>
      <w:rFonts w:eastAsiaTheme="minorEastAsia"/>
      <w:lang w:eastAsia="ja-JP"/>
    </w:rPr>
  </w:style>
  <w:style w:type="paragraph" w:styleId="Lista">
    <w:name w:val="List"/>
    <w:basedOn w:val="Normal"/>
    <w:uiPriority w:val="99"/>
    <w:unhideWhenUsed/>
    <w:rsid w:val="005B37F5"/>
    <w:pPr>
      <w:ind w:left="283" w:hanging="283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318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18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187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5533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81C0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itemdatecreated">
    <w:name w:val="itemdatecreated"/>
    <w:basedOn w:val="Fuentedeprrafopredeter"/>
    <w:rsid w:val="00481C0F"/>
  </w:style>
  <w:style w:type="character" w:customStyle="1" w:styleId="itemextrafieldsvalue">
    <w:name w:val="itemextrafieldsvalue"/>
    <w:basedOn w:val="Fuentedeprrafopredeter"/>
    <w:rsid w:val="00481C0F"/>
  </w:style>
  <w:style w:type="paragraph" w:styleId="NormalWeb">
    <w:name w:val="Normal (Web)"/>
    <w:basedOn w:val="Normal"/>
    <w:uiPriority w:val="99"/>
    <w:unhideWhenUsed/>
    <w:rsid w:val="004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81C0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81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tem-metadata">
    <w:name w:val="item-metadata"/>
    <w:basedOn w:val="Fuentedeprrafopredeter"/>
    <w:rsid w:val="00481C0F"/>
  </w:style>
  <w:style w:type="character" w:customStyle="1" w:styleId="a2alabel">
    <w:name w:val="a2a_label"/>
    <w:basedOn w:val="Fuentedeprrafopredeter"/>
    <w:rsid w:val="00481C0F"/>
  </w:style>
  <w:style w:type="character" w:styleId="Hipervnculovisitado">
    <w:name w:val="FollowedHyperlink"/>
    <w:basedOn w:val="Fuentedeprrafopredeter"/>
    <w:uiPriority w:val="99"/>
    <w:semiHidden/>
    <w:unhideWhenUsed/>
    <w:rsid w:val="006E33D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8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1">
    <w:name w:val="Grid Table 3 Accent 1"/>
    <w:basedOn w:val="Tablanormal"/>
    <w:uiPriority w:val="48"/>
    <w:rsid w:val="00345E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45EC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345EC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3578-57B8-4214-B4F1-7B352AA6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1361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Alejandra Guadalupe</dc:creator>
  <cp:lastModifiedBy>Silvia Pérez Pérez</cp:lastModifiedBy>
  <cp:revision>2</cp:revision>
  <dcterms:created xsi:type="dcterms:W3CDTF">2020-02-19T17:37:00Z</dcterms:created>
  <dcterms:modified xsi:type="dcterms:W3CDTF">2020-02-19T17:37:00Z</dcterms:modified>
</cp:coreProperties>
</file>