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C5B2" w14:textId="3DA57832" w:rsidR="00DE12F3" w:rsidRPr="002201E1" w:rsidRDefault="009F0E26" w:rsidP="00DE12F3">
      <w:pPr>
        <w:spacing w:after="0" w:line="264" w:lineRule="auto"/>
        <w:jc w:val="center"/>
        <w:rPr>
          <w:rFonts w:ascii="Century Gothic" w:eastAsia="Calibri" w:hAnsi="Century Gothic" w:cs="Arial"/>
          <w:b/>
        </w:rPr>
      </w:pPr>
      <w:bookmarkStart w:id="0" w:name="_GoBack"/>
      <w:bookmarkEnd w:id="0"/>
      <w:r w:rsidRPr="00BA3D4C">
        <w:rPr>
          <w:rFonts w:ascii="Century Gothic" w:eastAsia="Times New Roman" w:hAnsi="Century Gothic" w:cs="Arial"/>
          <w:b/>
          <w:lang w:val="es-ES_tradnl" w:eastAsia="es-ES"/>
        </w:rPr>
        <w:t>COMISI</w:t>
      </w:r>
      <w:r>
        <w:rPr>
          <w:rFonts w:ascii="Century Gothic" w:eastAsia="Times New Roman" w:hAnsi="Century Gothic" w:cs="Arial"/>
          <w:b/>
          <w:lang w:val="es-ES_tradnl" w:eastAsia="es-ES"/>
        </w:rPr>
        <w:t>Ó</w:t>
      </w:r>
      <w:r w:rsidRPr="00BA3D4C">
        <w:rPr>
          <w:rFonts w:ascii="Century Gothic" w:eastAsia="Times New Roman" w:hAnsi="Century Gothic" w:cs="Arial"/>
          <w:b/>
          <w:lang w:val="es-ES_tradnl" w:eastAsia="es-ES"/>
        </w:rPr>
        <w:t>N</w:t>
      </w:r>
      <w:r w:rsidR="00023947">
        <w:rPr>
          <w:rStyle w:val="catitemextrafieldsvalue"/>
          <w:rFonts w:ascii="Century Gothic" w:hAnsi="Century Gothic"/>
          <w:b/>
        </w:rPr>
        <w:t xml:space="preserve"> INSPECTORA DE LA AUDITORÍA SUPERIOR DEL ESTADO</w:t>
      </w:r>
      <w:r w:rsidRPr="00BA3D4C">
        <w:rPr>
          <w:rStyle w:val="catitemextrafieldsvalue"/>
          <w:rFonts w:ascii="Century Gothic" w:hAnsi="Century Gothic"/>
          <w:b/>
        </w:rPr>
        <w:t>.</w:t>
      </w:r>
    </w:p>
    <w:p w14:paraId="47C33938" w14:textId="77777777" w:rsidR="00DE12F3" w:rsidRPr="002201E1" w:rsidRDefault="00DE12F3" w:rsidP="00DE12F3">
      <w:pPr>
        <w:spacing w:after="0" w:line="264" w:lineRule="auto"/>
        <w:jc w:val="center"/>
        <w:rPr>
          <w:rFonts w:ascii="Century Gothic" w:eastAsia="Calibri" w:hAnsi="Century Gothic" w:cs="Arial"/>
          <w:b/>
        </w:rPr>
      </w:pPr>
    </w:p>
    <w:p w14:paraId="1C6440D5" w14:textId="77777777" w:rsidR="00DE12F3" w:rsidRPr="002201E1" w:rsidRDefault="00DE12F3" w:rsidP="00DE12F3">
      <w:pPr>
        <w:spacing w:after="0" w:line="264" w:lineRule="auto"/>
        <w:rPr>
          <w:rFonts w:ascii="Century Gothic" w:eastAsia="Calibri" w:hAnsi="Century Gothic" w:cs="Arial"/>
          <w:b/>
        </w:rPr>
      </w:pPr>
    </w:p>
    <w:p w14:paraId="4D17DE41" w14:textId="0D0E7768" w:rsidR="00DE12F3" w:rsidRPr="00F703E8" w:rsidRDefault="00DE12F3" w:rsidP="00DE12F3">
      <w:pPr>
        <w:spacing w:after="0" w:line="264" w:lineRule="auto"/>
        <w:jc w:val="right"/>
        <w:rPr>
          <w:rFonts w:ascii="Century Gothic" w:eastAsia="Calibri" w:hAnsi="Century Gothic" w:cs="Arial"/>
          <w:b/>
        </w:rPr>
      </w:pP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00791C8D">
        <w:rPr>
          <w:rFonts w:ascii="Century Gothic" w:eastAsia="Calibri" w:hAnsi="Century Gothic" w:cs="Arial"/>
          <w:b/>
        </w:rPr>
        <w:t>DICTAMEN: 07</w:t>
      </w:r>
    </w:p>
    <w:p w14:paraId="27B64A44" w14:textId="77777777" w:rsidR="00DE12F3" w:rsidRPr="002201E1" w:rsidRDefault="00DE12F3" w:rsidP="00DE12F3">
      <w:pPr>
        <w:spacing w:after="0" w:line="264" w:lineRule="auto"/>
        <w:jc w:val="both"/>
        <w:rPr>
          <w:rFonts w:ascii="Century Gothic" w:eastAsia="Calibri" w:hAnsi="Century Gothic" w:cs="Arial"/>
        </w:rPr>
      </w:pPr>
    </w:p>
    <w:p w14:paraId="174BE6B3" w14:textId="77777777" w:rsidR="00DE12F3" w:rsidRPr="002201E1" w:rsidRDefault="00DE12F3" w:rsidP="00DE12F3">
      <w:pPr>
        <w:spacing w:after="0" w:line="264" w:lineRule="auto"/>
        <w:jc w:val="both"/>
        <w:rPr>
          <w:rFonts w:ascii="Century Gothic" w:hAnsi="Century Gothic" w:cs="Arial"/>
          <w:b/>
        </w:rPr>
      </w:pPr>
      <w:r w:rsidRPr="002201E1">
        <w:rPr>
          <w:rFonts w:ascii="Century Gothic" w:eastAsia="Calibri" w:hAnsi="Century Gothic" w:cs="Arial"/>
          <w:b/>
        </w:rPr>
        <w:t>HONORABLE ASAMBLEA:</w:t>
      </w:r>
    </w:p>
    <w:p w14:paraId="55DE2C41" w14:textId="77777777" w:rsidR="00DE12F3" w:rsidRPr="002201E1" w:rsidRDefault="00DE12F3" w:rsidP="00DE12F3">
      <w:pPr>
        <w:spacing w:after="0" w:line="264" w:lineRule="auto"/>
        <w:rPr>
          <w:rFonts w:ascii="Century Gothic" w:hAnsi="Century Gothic" w:cs="Arial"/>
          <w:b/>
        </w:rPr>
      </w:pPr>
    </w:p>
    <w:p w14:paraId="4754A18A" w14:textId="7BE21039" w:rsidR="00DE12F3" w:rsidRPr="002201E1" w:rsidRDefault="00DE12F3" w:rsidP="00DE12F3">
      <w:pPr>
        <w:spacing w:after="0" w:line="264" w:lineRule="auto"/>
        <w:jc w:val="both"/>
        <w:rPr>
          <w:rFonts w:ascii="Century Gothic" w:hAnsi="Century Gothic" w:cs="Tahoma"/>
        </w:rPr>
      </w:pPr>
      <w:r w:rsidRPr="002201E1">
        <w:rPr>
          <w:rFonts w:ascii="Century Gothic" w:hAnsi="Century Gothic" w:cs="Tahoma"/>
          <w:b/>
          <w:bCs/>
        </w:rPr>
        <w:t>Dictamen que presenta la</w:t>
      </w:r>
      <w:r>
        <w:rPr>
          <w:rFonts w:ascii="Century Gothic" w:hAnsi="Century Gothic" w:cs="Tahoma"/>
          <w:b/>
          <w:bCs/>
        </w:rPr>
        <w:t xml:space="preserve"> </w:t>
      </w:r>
      <w:r w:rsidRPr="002201E1">
        <w:rPr>
          <w:rFonts w:ascii="Century Gothic" w:hAnsi="Century Gothic" w:cs="Tahoma"/>
          <w:b/>
          <w:bCs/>
        </w:rPr>
        <w:t>Comisi</w:t>
      </w:r>
      <w:r w:rsidR="00376CD8">
        <w:rPr>
          <w:rFonts w:ascii="Century Gothic" w:hAnsi="Century Gothic" w:cs="Tahoma"/>
          <w:b/>
          <w:bCs/>
        </w:rPr>
        <w:t>ón</w:t>
      </w:r>
      <w:r>
        <w:rPr>
          <w:rFonts w:ascii="Century Gothic" w:hAnsi="Century Gothic" w:cs="Tahoma"/>
          <w:b/>
          <w:bCs/>
        </w:rPr>
        <w:t xml:space="preserve"> </w:t>
      </w:r>
      <w:r w:rsidR="00023947">
        <w:rPr>
          <w:rFonts w:ascii="Century Gothic" w:hAnsi="Century Gothic" w:cs="Tahoma"/>
          <w:b/>
          <w:bCs/>
        </w:rPr>
        <w:t>Inspectora de la Auditoría Superior del Estado</w:t>
      </w:r>
      <w:r w:rsidR="009F0E26" w:rsidRPr="00FB3852">
        <w:rPr>
          <w:rFonts w:ascii="Century Gothic" w:eastAsia="Times New Roman" w:hAnsi="Century Gothic" w:cs="Arial"/>
          <w:b/>
          <w:lang w:val="es-ES_tradnl" w:eastAsia="es-ES"/>
        </w:rPr>
        <w:t>,</w:t>
      </w:r>
      <w:r w:rsidR="009F0E26">
        <w:rPr>
          <w:rFonts w:ascii="Century Gothic" w:eastAsia="Times New Roman" w:hAnsi="Century Gothic" w:cs="Arial"/>
          <w:b/>
          <w:lang w:val="es-ES_tradnl" w:eastAsia="es-ES"/>
        </w:rPr>
        <w:t xml:space="preserve"> </w:t>
      </w:r>
      <w:r w:rsidRPr="00DB41D2">
        <w:rPr>
          <w:rFonts w:ascii="Century Gothic" w:hAnsi="Century Gothic" w:cs="Tahoma"/>
          <w:b/>
          <w:bCs/>
        </w:rPr>
        <w:t>de la</w:t>
      </w:r>
      <w:r>
        <w:rPr>
          <w:rFonts w:ascii="Century Gothic" w:hAnsi="Century Gothic" w:cs="Tahoma"/>
          <w:bCs/>
        </w:rPr>
        <w:t xml:space="preserve"> </w:t>
      </w:r>
      <w:r w:rsidRPr="00E11BA5">
        <w:rPr>
          <w:rFonts w:ascii="Century Gothic" w:hAnsi="Century Gothic" w:cs="Tahoma"/>
          <w:b/>
        </w:rPr>
        <w:t>LX Legislatura del Honorable Congreso del Estado Libre y Soberano de Puebla</w:t>
      </w:r>
      <w:r w:rsidRPr="002201E1">
        <w:rPr>
          <w:rFonts w:ascii="Century Gothic" w:hAnsi="Century Gothic" w:cs="Tahoma"/>
          <w:bCs/>
        </w:rPr>
        <w:t>,</w:t>
      </w:r>
      <w:r w:rsidRPr="002201E1">
        <w:rPr>
          <w:rFonts w:ascii="Century Gothic" w:hAnsi="Century Gothic" w:cs="Tahoma"/>
        </w:rPr>
        <w:t xml:space="preserve"> con fundamento en lo dispuesto por los artículos </w:t>
      </w:r>
      <w:r w:rsidR="001554E3">
        <w:rPr>
          <w:rFonts w:ascii="Century Gothic" w:hAnsi="Century Gothic" w:cs="Tahoma"/>
        </w:rPr>
        <w:t xml:space="preserve">57 fracción I y </w:t>
      </w:r>
      <w:r w:rsidRPr="002201E1">
        <w:rPr>
          <w:rFonts w:ascii="Century Gothic" w:hAnsi="Century Gothic" w:cs="Tahoma"/>
        </w:rPr>
        <w:t>64 fracción I</w:t>
      </w:r>
      <w:r w:rsidRPr="002201E1">
        <w:rPr>
          <w:rFonts w:ascii="Century Gothic" w:hAnsi="Century Gothic"/>
        </w:rPr>
        <w:t xml:space="preserve"> de la </w:t>
      </w:r>
      <w:r w:rsidRPr="002201E1">
        <w:rPr>
          <w:rFonts w:ascii="Century Gothic" w:hAnsi="Century Gothic" w:cs="Tahoma"/>
        </w:rPr>
        <w:t>Constitución Política del Estado Libre y Soberano de Puebla; 102, 115 fracción III, 119, 123 fracci</w:t>
      </w:r>
      <w:r w:rsidR="00376CD8">
        <w:rPr>
          <w:rFonts w:ascii="Century Gothic" w:hAnsi="Century Gothic" w:cs="Tahoma"/>
        </w:rPr>
        <w:t xml:space="preserve">ón </w:t>
      </w:r>
      <w:r w:rsidR="009F105C">
        <w:rPr>
          <w:rFonts w:ascii="Century Gothic" w:hAnsi="Century Gothic" w:cs="Tahoma"/>
        </w:rPr>
        <w:t>XV</w:t>
      </w:r>
      <w:r>
        <w:rPr>
          <w:rFonts w:ascii="Century Gothic" w:hAnsi="Century Gothic" w:cs="Tahoma"/>
        </w:rPr>
        <w:t xml:space="preserve">, </w:t>
      </w:r>
      <w:r w:rsidR="00232ED6">
        <w:rPr>
          <w:rFonts w:ascii="Century Gothic" w:hAnsi="Century Gothic" w:cs="Tahoma"/>
        </w:rPr>
        <w:t>151,</w:t>
      </w:r>
      <w:r w:rsidRPr="002201E1">
        <w:rPr>
          <w:rFonts w:ascii="Century Gothic" w:hAnsi="Century Gothic" w:cs="Tahoma"/>
        </w:rPr>
        <w:t>152</w:t>
      </w:r>
      <w:r w:rsidR="001554E3">
        <w:rPr>
          <w:rFonts w:ascii="Century Gothic" w:hAnsi="Century Gothic" w:cs="Tahoma"/>
        </w:rPr>
        <w:t xml:space="preserve">, 153 </w:t>
      </w:r>
      <w:r w:rsidRPr="002201E1">
        <w:rPr>
          <w:rFonts w:ascii="Century Gothic" w:hAnsi="Century Gothic" w:cs="Tahoma"/>
        </w:rPr>
        <w:t>y 154 de la Ley Orgánica del Poder Legislativo del Estado Libre y Soberano de Puebla; 45, 46, 47, 48 fracci</w:t>
      </w:r>
      <w:r w:rsidR="00376CD8">
        <w:rPr>
          <w:rFonts w:ascii="Century Gothic" w:hAnsi="Century Gothic" w:cs="Tahoma"/>
        </w:rPr>
        <w:t xml:space="preserve">ón </w:t>
      </w:r>
      <w:r w:rsidR="009F105C">
        <w:rPr>
          <w:rFonts w:ascii="Century Gothic" w:hAnsi="Century Gothic" w:cs="Tahoma"/>
        </w:rPr>
        <w:t>XV</w:t>
      </w:r>
      <w:r w:rsidR="009F0E26">
        <w:rPr>
          <w:rFonts w:ascii="Century Gothic" w:hAnsi="Century Gothic" w:cs="Tahoma"/>
        </w:rPr>
        <w:t>,</w:t>
      </w:r>
      <w:r w:rsidRPr="002201E1">
        <w:rPr>
          <w:rFonts w:ascii="Century Gothic" w:hAnsi="Century Gothic" w:cs="Tahoma"/>
        </w:rPr>
        <w:t xml:space="preserve"> 78, 79 y 82 del Reglamento Interior del Honorable Congreso del Estado Libre y Soberano de Puebla, y demás relativos aplicables, al tenor de los siguientes:</w:t>
      </w:r>
    </w:p>
    <w:p w14:paraId="14C60281" w14:textId="77777777" w:rsidR="00DE12F3" w:rsidRPr="002201E1" w:rsidRDefault="00DE12F3" w:rsidP="00DE12F3">
      <w:pPr>
        <w:spacing w:after="0" w:line="264" w:lineRule="auto"/>
        <w:jc w:val="both"/>
        <w:rPr>
          <w:rFonts w:ascii="Century Gothic" w:hAnsi="Century Gothic" w:cs="Tahoma"/>
        </w:rPr>
      </w:pPr>
    </w:p>
    <w:p w14:paraId="19722828" w14:textId="77777777" w:rsidR="00023947" w:rsidRPr="0062338C" w:rsidRDefault="00023947" w:rsidP="00023947">
      <w:pPr>
        <w:spacing w:after="0" w:line="240" w:lineRule="auto"/>
        <w:jc w:val="center"/>
        <w:rPr>
          <w:rFonts w:ascii="Century Gothic" w:hAnsi="Century Gothic" w:cs="Tahoma"/>
          <w:b/>
        </w:rPr>
      </w:pPr>
      <w:r w:rsidRPr="0062338C">
        <w:rPr>
          <w:rFonts w:ascii="Century Gothic" w:hAnsi="Century Gothic" w:cs="Tahoma"/>
          <w:b/>
        </w:rPr>
        <w:t>ANTECEDENTES</w:t>
      </w:r>
    </w:p>
    <w:p w14:paraId="4B7B5355" w14:textId="77777777" w:rsidR="00023947" w:rsidRPr="0062338C" w:rsidRDefault="00023947" w:rsidP="00023947">
      <w:pPr>
        <w:spacing w:after="0" w:line="240" w:lineRule="auto"/>
        <w:jc w:val="center"/>
        <w:rPr>
          <w:rFonts w:ascii="Century Gothic" w:hAnsi="Century Gothic" w:cs="Tahoma"/>
          <w:b/>
        </w:rPr>
      </w:pPr>
    </w:p>
    <w:p w14:paraId="7DDE617C" w14:textId="12A79B46" w:rsidR="00023947" w:rsidRPr="0062338C" w:rsidRDefault="00023947" w:rsidP="00023947">
      <w:pPr>
        <w:pStyle w:val="Prrafodelista"/>
        <w:numPr>
          <w:ilvl w:val="0"/>
          <w:numId w:val="5"/>
        </w:numPr>
        <w:contextualSpacing/>
        <w:jc w:val="both"/>
        <w:rPr>
          <w:rFonts w:ascii="Century Gothic" w:hAnsi="Century Gothic" w:cs="Tahoma"/>
          <w:sz w:val="22"/>
          <w:szCs w:val="22"/>
        </w:rPr>
      </w:pPr>
      <w:r w:rsidRPr="0062338C">
        <w:rPr>
          <w:rFonts w:ascii="Century Gothic" w:hAnsi="Century Gothic" w:cs="Tahoma"/>
          <w:sz w:val="22"/>
          <w:szCs w:val="22"/>
        </w:rPr>
        <w:t xml:space="preserve">El </w:t>
      </w:r>
      <w:r w:rsidR="002035DC" w:rsidRPr="0062338C">
        <w:rPr>
          <w:rFonts w:ascii="Century Gothic" w:hAnsi="Century Gothic" w:cs="Tahoma"/>
          <w:sz w:val="22"/>
          <w:szCs w:val="22"/>
        </w:rPr>
        <w:t>25</w:t>
      </w:r>
      <w:r w:rsidRPr="0062338C">
        <w:rPr>
          <w:rFonts w:ascii="Century Gothic" w:hAnsi="Century Gothic" w:cs="Tahoma"/>
          <w:sz w:val="22"/>
          <w:szCs w:val="22"/>
        </w:rPr>
        <w:t xml:space="preserve"> de </w:t>
      </w:r>
      <w:r w:rsidR="002035DC" w:rsidRPr="0062338C">
        <w:rPr>
          <w:rFonts w:ascii="Century Gothic" w:hAnsi="Century Gothic" w:cs="Tahoma"/>
          <w:sz w:val="22"/>
          <w:szCs w:val="22"/>
        </w:rPr>
        <w:t>noviembre</w:t>
      </w:r>
      <w:r w:rsidRPr="0062338C">
        <w:rPr>
          <w:rFonts w:ascii="Century Gothic" w:hAnsi="Century Gothic" w:cs="Tahoma"/>
          <w:sz w:val="22"/>
          <w:szCs w:val="22"/>
        </w:rPr>
        <w:t xml:space="preserve"> de 2019, la Diputada </w:t>
      </w:r>
      <w:r w:rsidR="002035DC" w:rsidRPr="0062338C">
        <w:rPr>
          <w:rFonts w:ascii="Century Gothic" w:hAnsi="Century Gothic" w:cs="Tahoma"/>
          <w:sz w:val="22"/>
          <w:szCs w:val="22"/>
        </w:rPr>
        <w:t xml:space="preserve">Guadalupe </w:t>
      </w:r>
      <w:proofErr w:type="spellStart"/>
      <w:r w:rsidR="002035DC" w:rsidRPr="0062338C">
        <w:rPr>
          <w:rFonts w:ascii="Century Gothic" w:hAnsi="Century Gothic" w:cs="Tahoma"/>
          <w:sz w:val="22"/>
          <w:szCs w:val="22"/>
        </w:rPr>
        <w:t>Tlaque</w:t>
      </w:r>
      <w:proofErr w:type="spellEnd"/>
      <w:r w:rsidR="002035DC" w:rsidRPr="0062338C">
        <w:rPr>
          <w:rFonts w:ascii="Century Gothic" w:hAnsi="Century Gothic" w:cs="Tahoma"/>
          <w:sz w:val="22"/>
          <w:szCs w:val="22"/>
        </w:rPr>
        <w:t xml:space="preserve"> </w:t>
      </w:r>
      <w:proofErr w:type="spellStart"/>
      <w:r w:rsidR="002035DC" w:rsidRPr="0062338C">
        <w:rPr>
          <w:rFonts w:ascii="Century Gothic" w:hAnsi="Century Gothic" w:cs="Tahoma"/>
          <w:sz w:val="22"/>
          <w:szCs w:val="22"/>
        </w:rPr>
        <w:t>Cuazitl</w:t>
      </w:r>
      <w:proofErr w:type="spellEnd"/>
      <w:r w:rsidRPr="0062338C">
        <w:rPr>
          <w:rFonts w:ascii="Century Gothic" w:hAnsi="Century Gothic" w:cs="Tahoma"/>
          <w:sz w:val="22"/>
          <w:szCs w:val="22"/>
        </w:rPr>
        <w:t xml:space="preserve">, integrante del grupo parlamentario del partido </w:t>
      </w:r>
      <w:r w:rsidR="002035DC" w:rsidRPr="0062338C">
        <w:rPr>
          <w:rFonts w:ascii="Century Gothic" w:hAnsi="Century Gothic" w:cs="Tahoma"/>
          <w:sz w:val="22"/>
          <w:szCs w:val="22"/>
        </w:rPr>
        <w:t>MORENA</w:t>
      </w:r>
      <w:r w:rsidRPr="0062338C">
        <w:rPr>
          <w:rFonts w:ascii="Century Gothic" w:hAnsi="Century Gothic" w:cs="Tahoma"/>
          <w:sz w:val="22"/>
          <w:szCs w:val="22"/>
        </w:rPr>
        <w:t xml:space="preserve">, presentó </w:t>
      </w:r>
      <w:r w:rsidR="002035DC" w:rsidRPr="0062338C">
        <w:rPr>
          <w:rFonts w:ascii="Century Gothic" w:hAnsi="Century Gothic" w:cs="Tahoma"/>
          <w:sz w:val="22"/>
          <w:szCs w:val="22"/>
        </w:rPr>
        <w:t xml:space="preserve">el Punto de Acuerdo por el que solicita hacer un respetuoso y atento exhorto a los doscientos diecisiete Ayuntamientos del Estado de Puebla, para que en el ámbito de sus respectivas atribuciones, se realicen las actuaciones pertinentes que permitan la correcta aplicación de los recursos del </w:t>
      </w:r>
      <w:r w:rsidR="009A68CD">
        <w:rPr>
          <w:rFonts w:ascii="Century Gothic" w:hAnsi="Century Gothic" w:cs="Tahoma"/>
          <w:sz w:val="22"/>
          <w:szCs w:val="22"/>
        </w:rPr>
        <w:t>FAIS</w:t>
      </w:r>
      <w:r w:rsidR="002035DC" w:rsidRPr="0062338C">
        <w:rPr>
          <w:rFonts w:ascii="Century Gothic" w:hAnsi="Century Gothic" w:cs="Tahoma"/>
          <w:sz w:val="22"/>
          <w:szCs w:val="22"/>
        </w:rPr>
        <w:t>, pero sobre todo su debida comprobación con el objeto de evitar sanciones administrativas.</w:t>
      </w:r>
    </w:p>
    <w:p w14:paraId="65D6735F" w14:textId="77777777" w:rsidR="002035DC" w:rsidRPr="0062338C" w:rsidRDefault="002035DC" w:rsidP="002035DC">
      <w:pPr>
        <w:pStyle w:val="Prrafodelista"/>
        <w:ind w:left="720"/>
        <w:contextualSpacing/>
        <w:jc w:val="both"/>
        <w:rPr>
          <w:rFonts w:ascii="Century Gothic" w:hAnsi="Century Gothic" w:cs="Tahoma"/>
          <w:sz w:val="22"/>
          <w:szCs w:val="22"/>
        </w:rPr>
      </w:pPr>
    </w:p>
    <w:p w14:paraId="75FB0AFE" w14:textId="3A11085D" w:rsidR="009F105C" w:rsidRPr="0062338C" w:rsidRDefault="009F105C" w:rsidP="009F105C">
      <w:pPr>
        <w:pStyle w:val="Prrafodelista"/>
        <w:numPr>
          <w:ilvl w:val="0"/>
          <w:numId w:val="5"/>
        </w:numPr>
        <w:tabs>
          <w:tab w:val="left" w:pos="426"/>
        </w:tabs>
        <w:contextualSpacing/>
        <w:jc w:val="both"/>
        <w:rPr>
          <w:rFonts w:ascii="Century Gothic" w:hAnsi="Century Gothic" w:cs="Arial"/>
          <w:i/>
          <w:sz w:val="22"/>
          <w:szCs w:val="22"/>
          <w:lang w:val="es-ES_tradnl"/>
        </w:rPr>
      </w:pPr>
      <w:r w:rsidRPr="0062338C">
        <w:rPr>
          <w:rFonts w:ascii="Century Gothic" w:hAnsi="Century Gothic" w:cs="Arial"/>
          <w:sz w:val="22"/>
          <w:szCs w:val="22"/>
        </w:rPr>
        <w:t>E</w:t>
      </w:r>
      <w:r w:rsidRPr="0062338C">
        <w:rPr>
          <w:rFonts w:ascii="Century Gothic" w:hAnsi="Century Gothic" w:cs="Arial"/>
          <w:sz w:val="22"/>
          <w:szCs w:val="22"/>
          <w:lang w:val="es-ES_tradnl"/>
        </w:rPr>
        <w:t>n sesión de fecha</w:t>
      </w:r>
      <w:r w:rsidR="002035DC" w:rsidRPr="0062338C">
        <w:rPr>
          <w:rFonts w:ascii="Century Gothic" w:hAnsi="Century Gothic" w:cs="Arial"/>
          <w:sz w:val="22"/>
          <w:szCs w:val="22"/>
          <w:lang w:val="es-ES_tradnl"/>
        </w:rPr>
        <w:t xml:space="preserve"> del 8 de enero de 2020</w:t>
      </w:r>
      <w:r w:rsidRPr="0062338C">
        <w:rPr>
          <w:rFonts w:ascii="Century Gothic" w:hAnsi="Century Gothic" w:cs="Arial"/>
          <w:sz w:val="22"/>
          <w:szCs w:val="22"/>
          <w:lang w:val="es-ES_tradnl"/>
        </w:rPr>
        <w:t xml:space="preserve">, los integrantes de la </w:t>
      </w:r>
      <w:r w:rsidR="002035DC" w:rsidRPr="0062338C">
        <w:rPr>
          <w:rFonts w:ascii="Century Gothic" w:hAnsi="Century Gothic" w:cs="Arial"/>
          <w:sz w:val="22"/>
          <w:szCs w:val="22"/>
          <w:lang w:val="es-ES_tradnl"/>
        </w:rPr>
        <w:t>Comisión Permanente</w:t>
      </w:r>
      <w:r w:rsidRPr="0062338C">
        <w:rPr>
          <w:rFonts w:ascii="Century Gothic" w:hAnsi="Century Gothic" w:cs="Arial"/>
          <w:sz w:val="22"/>
          <w:szCs w:val="22"/>
          <w:lang w:val="es-ES_tradnl"/>
        </w:rPr>
        <w:t xml:space="preserve"> </w:t>
      </w:r>
      <w:r w:rsidR="002035DC" w:rsidRPr="0062338C">
        <w:rPr>
          <w:rFonts w:ascii="Century Gothic" w:hAnsi="Century Gothic" w:cs="Arial"/>
          <w:sz w:val="22"/>
          <w:szCs w:val="22"/>
          <w:lang w:val="es-ES_tradnl"/>
        </w:rPr>
        <w:t>turnaron para su estudio y resolución procedente, dicho acuerdo</w:t>
      </w:r>
      <w:r w:rsidRPr="0062338C">
        <w:rPr>
          <w:rFonts w:ascii="Century Gothic" w:hAnsi="Century Gothic" w:cs="Arial"/>
          <w:i/>
          <w:sz w:val="22"/>
          <w:szCs w:val="22"/>
          <w:lang w:val="es-ES_tradnl"/>
        </w:rPr>
        <w:t>.</w:t>
      </w:r>
    </w:p>
    <w:p w14:paraId="402A2CBB" w14:textId="6CDAA07D" w:rsidR="009F105C" w:rsidRPr="0062338C" w:rsidRDefault="009F105C" w:rsidP="009F105C">
      <w:pPr>
        <w:pStyle w:val="Prrafodelista"/>
        <w:ind w:left="720"/>
        <w:contextualSpacing/>
        <w:jc w:val="both"/>
        <w:rPr>
          <w:rFonts w:ascii="Century Gothic" w:hAnsi="Century Gothic" w:cs="Tahoma"/>
          <w:sz w:val="22"/>
          <w:szCs w:val="22"/>
        </w:rPr>
      </w:pPr>
    </w:p>
    <w:p w14:paraId="41EB6F83" w14:textId="3A2AF252" w:rsidR="009F105C" w:rsidRPr="0062338C" w:rsidRDefault="001C57A1" w:rsidP="009F105C">
      <w:pPr>
        <w:tabs>
          <w:tab w:val="left" w:pos="709"/>
          <w:tab w:val="left" w:pos="1800"/>
          <w:tab w:val="right" w:pos="9790"/>
        </w:tabs>
        <w:spacing w:line="240" w:lineRule="auto"/>
        <w:rPr>
          <w:rFonts w:ascii="Century Gothic" w:eastAsia="Times New Roman" w:hAnsi="Century Gothic" w:cs="Arial"/>
          <w:b/>
          <w:lang w:eastAsia="es-ES"/>
        </w:rPr>
      </w:pPr>
      <w:r>
        <w:rPr>
          <w:rFonts w:ascii="Century Gothic" w:eastAsia="Times New Roman" w:hAnsi="Century Gothic" w:cs="Arial"/>
          <w:b/>
          <w:lang w:eastAsia="es-ES"/>
        </w:rPr>
        <w:t>CONTENIDO DEL PUNTO DE ACUERDO</w:t>
      </w:r>
    </w:p>
    <w:p w14:paraId="05E1D334" w14:textId="08AA7191" w:rsidR="0062338C" w:rsidRDefault="002035DC" w:rsidP="002035DC">
      <w:pPr>
        <w:pStyle w:val="Prrafodelista"/>
        <w:numPr>
          <w:ilvl w:val="0"/>
          <w:numId w:val="9"/>
        </w:numPr>
        <w:jc w:val="both"/>
        <w:rPr>
          <w:rFonts w:ascii="Century Gothic" w:hAnsi="Century Gothic" w:cs="Arial"/>
          <w:spacing w:val="1"/>
          <w:sz w:val="22"/>
          <w:szCs w:val="22"/>
          <w:lang w:val="es"/>
        </w:rPr>
      </w:pPr>
      <w:r w:rsidRPr="0062338C">
        <w:rPr>
          <w:rFonts w:ascii="Century Gothic" w:hAnsi="Century Gothic" w:cs="Arial"/>
          <w:spacing w:val="1"/>
          <w:sz w:val="22"/>
          <w:szCs w:val="22"/>
          <w:lang w:val="es"/>
        </w:rPr>
        <w:t xml:space="preserve">Se hace un respetuoso y atento exhorto a los </w:t>
      </w:r>
      <w:r w:rsidR="00157525">
        <w:rPr>
          <w:rFonts w:ascii="Century Gothic" w:hAnsi="Century Gothic" w:cs="Arial"/>
          <w:spacing w:val="1"/>
          <w:sz w:val="22"/>
          <w:szCs w:val="22"/>
          <w:lang w:val="es"/>
        </w:rPr>
        <w:t>doscientos diecisiete</w:t>
      </w:r>
      <w:r w:rsidRPr="0062338C">
        <w:rPr>
          <w:rFonts w:ascii="Century Gothic" w:hAnsi="Century Gothic" w:cs="Arial"/>
          <w:spacing w:val="1"/>
          <w:sz w:val="22"/>
          <w:szCs w:val="22"/>
          <w:lang w:val="es"/>
        </w:rPr>
        <w:t xml:space="preserve"> Ayuntamientos del Estado de Puebla para que en el ámbito de sus respectivas atribuciones realicen las actuaciones pertinentes que permitan la correcta apli</w:t>
      </w:r>
      <w:r w:rsidR="009A68CD">
        <w:rPr>
          <w:rFonts w:ascii="Century Gothic" w:hAnsi="Century Gothic" w:cs="Arial"/>
          <w:spacing w:val="1"/>
          <w:sz w:val="22"/>
          <w:szCs w:val="22"/>
          <w:lang w:val="es"/>
        </w:rPr>
        <w:t xml:space="preserve">cación de los recursos del </w:t>
      </w:r>
      <w:r w:rsidR="009A68CD" w:rsidRPr="0062338C">
        <w:rPr>
          <w:rFonts w:ascii="Century Gothic" w:hAnsi="Century Gothic"/>
        </w:rPr>
        <w:t>F</w:t>
      </w:r>
      <w:r w:rsidR="009A68CD">
        <w:rPr>
          <w:rFonts w:ascii="Century Gothic" w:hAnsi="Century Gothic"/>
        </w:rPr>
        <w:t xml:space="preserve">ondo de </w:t>
      </w:r>
      <w:r w:rsidR="009A68CD" w:rsidRPr="0062338C">
        <w:rPr>
          <w:rFonts w:ascii="Century Gothic" w:hAnsi="Century Gothic"/>
        </w:rPr>
        <w:t>A</w:t>
      </w:r>
      <w:r w:rsidR="009A68CD">
        <w:rPr>
          <w:rFonts w:ascii="Century Gothic" w:hAnsi="Century Gothic"/>
        </w:rPr>
        <w:t xml:space="preserve">portaciones para la </w:t>
      </w:r>
      <w:r w:rsidR="009A68CD" w:rsidRPr="0062338C">
        <w:rPr>
          <w:rFonts w:ascii="Century Gothic" w:hAnsi="Century Gothic"/>
        </w:rPr>
        <w:t>I</w:t>
      </w:r>
      <w:r w:rsidR="009A68CD">
        <w:rPr>
          <w:rFonts w:ascii="Century Gothic" w:hAnsi="Century Gothic"/>
        </w:rPr>
        <w:t xml:space="preserve">nfraestructura </w:t>
      </w:r>
      <w:r w:rsidR="009A68CD" w:rsidRPr="0062338C">
        <w:rPr>
          <w:rFonts w:ascii="Century Gothic" w:hAnsi="Century Gothic"/>
        </w:rPr>
        <w:t>S</w:t>
      </w:r>
      <w:r w:rsidR="009A68CD">
        <w:rPr>
          <w:rFonts w:ascii="Century Gothic" w:hAnsi="Century Gothic"/>
        </w:rPr>
        <w:t xml:space="preserve">ocial </w:t>
      </w:r>
      <w:r w:rsidR="009A68CD">
        <w:rPr>
          <w:rFonts w:ascii="Century Gothic" w:hAnsi="Century Gothic" w:cs="Arial"/>
          <w:spacing w:val="1"/>
          <w:sz w:val="22"/>
          <w:szCs w:val="22"/>
          <w:lang w:val="es"/>
        </w:rPr>
        <w:t>y,</w:t>
      </w:r>
      <w:r w:rsidRPr="0062338C">
        <w:rPr>
          <w:rFonts w:ascii="Century Gothic" w:hAnsi="Century Gothic" w:cs="Arial"/>
          <w:spacing w:val="1"/>
          <w:sz w:val="22"/>
          <w:szCs w:val="22"/>
          <w:lang w:val="es"/>
        </w:rPr>
        <w:t xml:space="preserve"> sobre todo</w:t>
      </w:r>
      <w:r w:rsidR="009A68CD">
        <w:rPr>
          <w:rFonts w:ascii="Century Gothic" w:hAnsi="Century Gothic" w:cs="Arial"/>
          <w:spacing w:val="1"/>
          <w:sz w:val="22"/>
          <w:szCs w:val="22"/>
          <w:lang w:val="es"/>
        </w:rPr>
        <w:t>,</w:t>
      </w:r>
      <w:r w:rsidRPr="0062338C">
        <w:rPr>
          <w:rFonts w:ascii="Century Gothic" w:hAnsi="Century Gothic" w:cs="Arial"/>
          <w:spacing w:val="1"/>
          <w:sz w:val="22"/>
          <w:szCs w:val="22"/>
          <w:lang w:val="es"/>
        </w:rPr>
        <w:t xml:space="preserve"> su debida comprobación con el objeto de evitar sanciones administrativas.</w:t>
      </w:r>
    </w:p>
    <w:p w14:paraId="73F0F31D" w14:textId="7EFEF98D" w:rsidR="00023947" w:rsidRPr="0062338C" w:rsidRDefault="0062338C" w:rsidP="0062338C">
      <w:pPr>
        <w:spacing w:after="0" w:line="264" w:lineRule="auto"/>
        <w:ind w:right="612"/>
        <w:jc w:val="both"/>
        <w:rPr>
          <w:rFonts w:ascii="Century Gothic" w:eastAsia="Times New Roman" w:hAnsi="Century Gothic" w:cs="Arial"/>
          <w:spacing w:val="1"/>
          <w:lang w:val="es" w:eastAsia="es-ES"/>
        </w:rPr>
      </w:pPr>
      <w:r>
        <w:rPr>
          <w:rFonts w:ascii="Century Gothic" w:hAnsi="Century Gothic" w:cs="Arial"/>
          <w:spacing w:val="1"/>
          <w:lang w:val="es"/>
        </w:rPr>
        <w:br w:type="page"/>
      </w:r>
    </w:p>
    <w:p w14:paraId="0E515628" w14:textId="470378D0" w:rsidR="00023947" w:rsidRPr="0062338C" w:rsidRDefault="00023947" w:rsidP="00023947">
      <w:pPr>
        <w:spacing w:after="0" w:line="240" w:lineRule="auto"/>
        <w:jc w:val="center"/>
        <w:rPr>
          <w:rFonts w:ascii="Century Gothic" w:hAnsi="Century Gothic" w:cs="Tahoma"/>
          <w:b/>
        </w:rPr>
      </w:pPr>
      <w:r w:rsidRPr="0062338C">
        <w:rPr>
          <w:rFonts w:ascii="Century Gothic" w:hAnsi="Century Gothic" w:cs="Tahoma"/>
          <w:b/>
        </w:rPr>
        <w:lastRenderedPageBreak/>
        <w:t>CONSIDERACIONES</w:t>
      </w:r>
      <w:r w:rsidR="00852E5D">
        <w:rPr>
          <w:rFonts w:ascii="Century Gothic" w:hAnsi="Century Gothic" w:cs="Tahoma"/>
          <w:b/>
        </w:rPr>
        <w:t xml:space="preserve"> DE LA COMISIÓN</w:t>
      </w:r>
    </w:p>
    <w:p w14:paraId="6163000B" w14:textId="77777777" w:rsidR="00023947" w:rsidRPr="0062338C" w:rsidRDefault="00023947" w:rsidP="00023947">
      <w:pPr>
        <w:spacing w:after="0" w:line="240" w:lineRule="auto"/>
        <w:jc w:val="center"/>
        <w:rPr>
          <w:rFonts w:ascii="Century Gothic" w:hAnsi="Century Gothic" w:cs="Tahoma"/>
          <w:b/>
        </w:rPr>
      </w:pPr>
    </w:p>
    <w:p w14:paraId="6983F7D2" w14:textId="550773A5" w:rsidR="00852E5D" w:rsidRDefault="002035DC" w:rsidP="00852E5D">
      <w:pPr>
        <w:contextualSpacing/>
        <w:jc w:val="both"/>
        <w:rPr>
          <w:rFonts w:ascii="Century Gothic" w:hAnsi="Century Gothic" w:cs="Tahoma"/>
        </w:rPr>
      </w:pPr>
      <w:r w:rsidRPr="00852E5D">
        <w:rPr>
          <w:rFonts w:ascii="Century Gothic" w:hAnsi="Century Gothic" w:cs="Tahoma"/>
        </w:rPr>
        <w:t>Que, de conformidad con el artículo 114 de la</w:t>
      </w:r>
      <w:r w:rsidR="00023947" w:rsidRPr="00852E5D">
        <w:rPr>
          <w:rFonts w:ascii="Century Gothic" w:hAnsi="Century Gothic" w:cs="Tahoma"/>
        </w:rPr>
        <w:t xml:space="preserve"> Constitución Política del Estado Libre y Soberano de Puebla, corresponde al Congreso del Estado, la revisión de las Cuentas Públicas, a través de la Auditoría Superior del Estado</w:t>
      </w:r>
      <w:r w:rsidRPr="00852E5D">
        <w:rPr>
          <w:rFonts w:ascii="Century Gothic" w:hAnsi="Century Gothic" w:cs="Tahoma"/>
        </w:rPr>
        <w:t xml:space="preserve"> con el objeto de determinar los resultados de la gestión financiera, verificar si se ajustaron a los criterios señalados en los presupuestos, conforme a las disposiciones aplicables, así como verificar el cumplimiento de los objetivos contenidos en los planes, programas y subprogramas</w:t>
      </w:r>
      <w:r w:rsidR="009A68CD">
        <w:rPr>
          <w:rFonts w:ascii="Century Gothic" w:hAnsi="Century Gothic" w:cs="Tahoma"/>
        </w:rPr>
        <w:t>.</w:t>
      </w:r>
    </w:p>
    <w:p w14:paraId="1E57F0C4" w14:textId="77777777" w:rsidR="00852E5D" w:rsidRDefault="00852E5D" w:rsidP="00852E5D">
      <w:pPr>
        <w:contextualSpacing/>
        <w:jc w:val="both"/>
        <w:rPr>
          <w:rFonts w:ascii="Century Gothic" w:hAnsi="Century Gothic" w:cs="Tahoma"/>
        </w:rPr>
      </w:pPr>
    </w:p>
    <w:p w14:paraId="1BAD2E19" w14:textId="1ADC6269" w:rsidR="002035DC" w:rsidRPr="00852E5D" w:rsidRDefault="00023947" w:rsidP="00852E5D">
      <w:pPr>
        <w:contextualSpacing/>
        <w:jc w:val="both"/>
        <w:rPr>
          <w:rFonts w:ascii="Century Gothic" w:hAnsi="Century Gothic" w:cs="Tahoma"/>
        </w:rPr>
      </w:pPr>
      <w:r w:rsidRPr="00852E5D">
        <w:rPr>
          <w:rFonts w:ascii="Century Gothic" w:hAnsi="Century Gothic" w:cs="Tahoma"/>
        </w:rPr>
        <w:t>Que</w:t>
      </w:r>
      <w:r w:rsidR="002035DC" w:rsidRPr="00852E5D">
        <w:rPr>
          <w:rFonts w:ascii="Century Gothic" w:hAnsi="Century Gothic" w:cs="Tahoma"/>
        </w:rPr>
        <w:t xml:space="preserve"> el artículo 113 de</w:t>
      </w:r>
      <w:r w:rsidRPr="00852E5D">
        <w:rPr>
          <w:rFonts w:ascii="Century Gothic" w:hAnsi="Century Gothic" w:cs="Tahoma"/>
        </w:rPr>
        <w:t xml:space="preserve"> la </w:t>
      </w:r>
      <w:r w:rsidR="00C95DD1" w:rsidRPr="00852E5D">
        <w:rPr>
          <w:rFonts w:ascii="Century Gothic" w:hAnsi="Century Gothic" w:cs="Tahoma"/>
        </w:rPr>
        <w:t>Constitución</w:t>
      </w:r>
      <w:r w:rsidRPr="00852E5D">
        <w:rPr>
          <w:rFonts w:ascii="Century Gothic" w:hAnsi="Century Gothic" w:cs="Tahoma"/>
        </w:rPr>
        <w:t xml:space="preserve"> Política del Estado Libre y Soberano de Puebla, establece que la Auditoría Superior del Estado es la encargada de “fiscalizar los ingresos y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w:t>
      </w:r>
      <w:r w:rsidR="00C95DD1" w:rsidRPr="00852E5D">
        <w:rPr>
          <w:rFonts w:ascii="Century Gothic" w:hAnsi="Century Gothic" w:cs="Tahoma"/>
        </w:rPr>
        <w:t>demás</w:t>
      </w:r>
      <w:r w:rsidRPr="00852E5D">
        <w:rPr>
          <w:rFonts w:ascii="Century Gothic" w:hAnsi="Century Gothic" w:cs="Tahoma"/>
        </w:rPr>
        <w:t xml:space="preserve"> que por cualquier razón recauden, manejen, ejerzan, resguarden o custodien recursos, fondos, bienes o  valores de la hacienda pública estatal o municipal, tanto en el país como en el extranjero, y demás que fo</w:t>
      </w:r>
      <w:r w:rsidR="009A68CD">
        <w:rPr>
          <w:rFonts w:ascii="Century Gothic" w:hAnsi="Century Gothic" w:cs="Tahoma"/>
        </w:rPr>
        <w:t>rmen parte de la cuenta pública.</w:t>
      </w:r>
    </w:p>
    <w:p w14:paraId="287954C8" w14:textId="77777777" w:rsidR="00852E5D" w:rsidRDefault="00852E5D" w:rsidP="00852E5D">
      <w:pPr>
        <w:contextualSpacing/>
        <w:jc w:val="both"/>
        <w:rPr>
          <w:rFonts w:ascii="Century Gothic" w:eastAsia="Times New Roman" w:hAnsi="Century Gothic" w:cs="Tahoma"/>
          <w:lang w:val="es-ES" w:eastAsia="es-ES"/>
        </w:rPr>
      </w:pPr>
    </w:p>
    <w:p w14:paraId="2A4BA85B" w14:textId="168C87FB" w:rsidR="002035DC" w:rsidRPr="00852E5D" w:rsidRDefault="002035DC" w:rsidP="00852E5D">
      <w:pPr>
        <w:contextualSpacing/>
        <w:jc w:val="both"/>
        <w:rPr>
          <w:rFonts w:ascii="Century Gothic" w:hAnsi="Century Gothic" w:cs="Tahoma"/>
        </w:rPr>
      </w:pPr>
      <w:r w:rsidRPr="00852E5D">
        <w:rPr>
          <w:rFonts w:ascii="Century Gothic" w:hAnsi="Century Gothic" w:cs="Tahoma"/>
        </w:rPr>
        <w:t>Que la Ley Orgánica del Poder Legislativo del Estado Libre y Soberano de Puebla determina que el Congreso del Estado, a través de la Comisión Inspectora de la Auditoría Superior del Estado, llevará a cabo la supervisión, coordinación y evaluación de la Auditorí</w:t>
      </w:r>
      <w:r w:rsidR="009A68CD">
        <w:rPr>
          <w:rFonts w:ascii="Century Gothic" w:hAnsi="Century Gothic" w:cs="Tahoma"/>
        </w:rPr>
        <w:t>a Superior del Estado de Puebla.</w:t>
      </w:r>
    </w:p>
    <w:p w14:paraId="5350817A" w14:textId="77777777" w:rsidR="00852E5D" w:rsidRDefault="00852E5D" w:rsidP="00852E5D">
      <w:pPr>
        <w:contextualSpacing/>
        <w:jc w:val="both"/>
        <w:rPr>
          <w:rFonts w:ascii="Century Gothic" w:eastAsia="Times New Roman" w:hAnsi="Century Gothic" w:cs="Tahoma"/>
          <w:lang w:val="es-ES" w:eastAsia="es-ES"/>
        </w:rPr>
      </w:pPr>
    </w:p>
    <w:p w14:paraId="50866BD2" w14:textId="2100978F" w:rsidR="0062338C" w:rsidRPr="00852E5D" w:rsidRDefault="002C6602" w:rsidP="00852E5D">
      <w:pPr>
        <w:contextualSpacing/>
        <w:jc w:val="both"/>
        <w:rPr>
          <w:rFonts w:ascii="Century Gothic" w:hAnsi="Century Gothic" w:cs="Tahoma"/>
        </w:rPr>
      </w:pPr>
      <w:r w:rsidRPr="00852E5D">
        <w:rPr>
          <w:rFonts w:ascii="Century Gothic" w:hAnsi="Century Gothic" w:cs="Tahoma"/>
        </w:rPr>
        <w:t xml:space="preserve">Que El Gobierno Federal, llevó a cabo una reestructuración de la política social y así también del Fondo de Aportaciones para la Infraestructura Social (FAIS), terminando con la política neoliberal que sólo ha ocasionado desigualdad y rezago social; y se puso en marcha una nueva política de gobierno que atienda a las necesidades </w:t>
      </w:r>
      <w:r w:rsidR="009A68CD">
        <w:rPr>
          <w:rFonts w:ascii="Century Gothic" w:hAnsi="Century Gothic" w:cs="Tahoma"/>
        </w:rPr>
        <w:t>de las personas más vulnerables.</w:t>
      </w:r>
    </w:p>
    <w:p w14:paraId="6952269E" w14:textId="77777777" w:rsidR="00852E5D" w:rsidRDefault="00852E5D" w:rsidP="00852E5D">
      <w:pPr>
        <w:contextualSpacing/>
        <w:jc w:val="both"/>
        <w:rPr>
          <w:rFonts w:ascii="Century Gothic" w:eastAsia="Times New Roman" w:hAnsi="Century Gothic" w:cs="Tahoma"/>
          <w:lang w:val="es-ES" w:eastAsia="es-ES"/>
        </w:rPr>
      </w:pPr>
    </w:p>
    <w:p w14:paraId="3E6837D9" w14:textId="0E76986E" w:rsidR="002C6602" w:rsidRPr="00852E5D" w:rsidRDefault="002C6602" w:rsidP="00852E5D">
      <w:pPr>
        <w:contextualSpacing/>
        <w:jc w:val="both"/>
        <w:rPr>
          <w:rFonts w:ascii="Century Gothic" w:hAnsi="Century Gothic" w:cs="Tahoma"/>
        </w:rPr>
      </w:pPr>
      <w:r w:rsidRPr="00852E5D">
        <w:rPr>
          <w:rFonts w:ascii="Century Gothic" w:hAnsi="Century Gothic" w:cs="Tahoma"/>
        </w:rPr>
        <w:t>Que el Fondo de Aportaciones para la Infraestructura Social (FAIS) es una de las principales fuentes de financiamiento para la dotación de infraestructura y servicios básicos que benefician a la población en condiciones de pobreza extrema, a las localidades con alto o muy alto rezago social y a las zona</w:t>
      </w:r>
      <w:r w:rsidR="009A68CD">
        <w:rPr>
          <w:rFonts w:ascii="Century Gothic" w:hAnsi="Century Gothic" w:cs="Tahoma"/>
        </w:rPr>
        <w:t>s de atención prioritaria (ZAP).</w:t>
      </w:r>
    </w:p>
    <w:p w14:paraId="3170FCBC" w14:textId="1BAADDFE" w:rsidR="002C6602" w:rsidRPr="00852E5D" w:rsidRDefault="002C6602" w:rsidP="00852E5D">
      <w:pPr>
        <w:contextualSpacing/>
        <w:jc w:val="both"/>
        <w:rPr>
          <w:rFonts w:ascii="Century Gothic" w:hAnsi="Century Gothic" w:cs="Tahoma"/>
        </w:rPr>
      </w:pPr>
      <w:r w:rsidRPr="00852E5D">
        <w:rPr>
          <w:rFonts w:ascii="Century Gothic" w:hAnsi="Century Gothic" w:cs="Tahoma"/>
        </w:rPr>
        <w:lastRenderedPageBreak/>
        <w:t xml:space="preserve">Que en ocasiones a nivel municipal, es la principal vía para financiar obra pública, en virtud </w:t>
      </w:r>
      <w:r w:rsidR="009A68CD">
        <w:rPr>
          <w:rFonts w:ascii="Century Gothic" w:hAnsi="Century Gothic" w:cs="Tahoma"/>
        </w:rPr>
        <w:t>de la debilidad de sus finanzas.</w:t>
      </w:r>
    </w:p>
    <w:p w14:paraId="3705070D" w14:textId="77777777" w:rsidR="00852E5D" w:rsidRDefault="00852E5D" w:rsidP="00852E5D">
      <w:pPr>
        <w:contextualSpacing/>
        <w:jc w:val="both"/>
        <w:rPr>
          <w:rFonts w:ascii="Century Gothic" w:eastAsia="Times New Roman" w:hAnsi="Century Gothic" w:cs="Tahoma"/>
          <w:lang w:val="es-ES" w:eastAsia="es-ES"/>
        </w:rPr>
      </w:pPr>
    </w:p>
    <w:p w14:paraId="4BDC25B6" w14:textId="46197C37" w:rsidR="002C6602" w:rsidRPr="00852E5D" w:rsidRDefault="002C6602" w:rsidP="00852E5D">
      <w:pPr>
        <w:contextualSpacing/>
        <w:jc w:val="both"/>
        <w:rPr>
          <w:rFonts w:ascii="Century Gothic" w:hAnsi="Century Gothic" w:cs="Tahoma"/>
        </w:rPr>
      </w:pPr>
      <w:r w:rsidRPr="00852E5D">
        <w:rPr>
          <w:rFonts w:ascii="Century Gothic" w:hAnsi="Century Gothic" w:cs="Tahoma"/>
        </w:rPr>
        <w:t>Que de los recursos del FAIS</w:t>
      </w:r>
      <w:r w:rsidR="0062338C" w:rsidRPr="00852E5D">
        <w:rPr>
          <w:rFonts w:ascii="Century Gothic" w:hAnsi="Century Gothic" w:cs="Tahoma"/>
        </w:rPr>
        <w:t>, por lo general,</w:t>
      </w:r>
      <w:r w:rsidRPr="00852E5D">
        <w:rPr>
          <w:rFonts w:ascii="Century Gothic" w:hAnsi="Century Gothic" w:cs="Tahoma"/>
        </w:rPr>
        <w:t xml:space="preserve"> </w:t>
      </w:r>
      <w:r w:rsidR="0062338C" w:rsidRPr="00852E5D">
        <w:rPr>
          <w:rFonts w:ascii="Century Gothic" w:hAnsi="Century Gothic" w:cs="Tahoma"/>
        </w:rPr>
        <w:t>son utilizados</w:t>
      </w:r>
      <w:r w:rsidRPr="00852E5D">
        <w:rPr>
          <w:rFonts w:ascii="Century Gothic" w:hAnsi="Century Gothic" w:cs="Tahoma"/>
        </w:rPr>
        <w:t xml:space="preserve"> para la creación de infraestructura de agua potable, alcantarillado, drenaje y letrinas, urbanización, electrificación rural y de colonias pobres, infraestructura básica de salud, infraestructura básica educativ</w:t>
      </w:r>
      <w:r w:rsidR="0062338C" w:rsidRPr="00852E5D">
        <w:rPr>
          <w:rFonts w:ascii="Century Gothic" w:hAnsi="Century Gothic" w:cs="Tahoma"/>
        </w:rPr>
        <w:t>a, mejoramiento de vivienda y m</w:t>
      </w:r>
      <w:r w:rsidR="009A68CD">
        <w:rPr>
          <w:rFonts w:ascii="Century Gothic" w:hAnsi="Century Gothic" w:cs="Tahoma"/>
        </w:rPr>
        <w:t>antenimiento de infraestructura.</w:t>
      </w:r>
    </w:p>
    <w:p w14:paraId="56EC4E45" w14:textId="77777777" w:rsidR="00852E5D" w:rsidRDefault="00852E5D" w:rsidP="00852E5D">
      <w:pPr>
        <w:contextualSpacing/>
        <w:jc w:val="both"/>
        <w:rPr>
          <w:rFonts w:ascii="Century Gothic" w:eastAsia="Times New Roman" w:hAnsi="Century Gothic" w:cs="Tahoma"/>
          <w:lang w:val="es-ES" w:eastAsia="es-ES"/>
        </w:rPr>
      </w:pPr>
    </w:p>
    <w:p w14:paraId="1F637A5C" w14:textId="737D2D8F" w:rsidR="002C6602" w:rsidRPr="00852E5D" w:rsidRDefault="002C6602" w:rsidP="00852E5D">
      <w:pPr>
        <w:contextualSpacing/>
        <w:jc w:val="both"/>
        <w:rPr>
          <w:rFonts w:ascii="Century Gothic" w:hAnsi="Century Gothic" w:cs="Tahoma"/>
        </w:rPr>
      </w:pPr>
      <w:r w:rsidRPr="00852E5D">
        <w:rPr>
          <w:rFonts w:ascii="Century Gothic" w:hAnsi="Century Gothic" w:cs="Tahoma"/>
        </w:rPr>
        <w:t>Que</w:t>
      </w:r>
      <w:r w:rsidR="0062338C" w:rsidRPr="00852E5D">
        <w:rPr>
          <w:rFonts w:ascii="Century Gothic" w:hAnsi="Century Gothic" w:cs="Tahoma"/>
        </w:rPr>
        <w:t>,</w:t>
      </w:r>
      <w:r w:rsidRPr="00852E5D">
        <w:rPr>
          <w:rFonts w:ascii="Century Gothic" w:hAnsi="Century Gothic" w:cs="Tahoma"/>
        </w:rPr>
        <w:t xml:space="preserve"> por otra parte, las entidades federativas y municipios deben cumplir oportunamente con la implementación normativa prevista en la Ley General de Contabilidad Gub</w:t>
      </w:r>
      <w:r w:rsidR="0062338C" w:rsidRPr="00852E5D">
        <w:rPr>
          <w:rFonts w:ascii="Century Gothic" w:hAnsi="Century Gothic" w:cs="Tahoma"/>
        </w:rPr>
        <w:t>ernamenta</w:t>
      </w:r>
      <w:r w:rsidR="009A68CD">
        <w:rPr>
          <w:rFonts w:ascii="Century Gothic" w:hAnsi="Century Gothic" w:cs="Tahoma"/>
        </w:rPr>
        <w:t>l y su Reforma.</w:t>
      </w:r>
    </w:p>
    <w:p w14:paraId="42839105" w14:textId="77777777" w:rsidR="00852E5D" w:rsidRDefault="00852E5D" w:rsidP="00852E5D">
      <w:pPr>
        <w:contextualSpacing/>
        <w:jc w:val="both"/>
        <w:rPr>
          <w:rFonts w:ascii="Century Gothic" w:eastAsia="Times New Roman" w:hAnsi="Century Gothic" w:cs="Tahoma"/>
          <w:lang w:val="es-ES" w:eastAsia="es-ES"/>
        </w:rPr>
      </w:pPr>
    </w:p>
    <w:p w14:paraId="009965C1" w14:textId="3CB1FD31" w:rsidR="002C6602" w:rsidRPr="00852E5D" w:rsidRDefault="002C6602" w:rsidP="00852E5D">
      <w:pPr>
        <w:contextualSpacing/>
        <w:jc w:val="both"/>
        <w:rPr>
          <w:rFonts w:ascii="Century Gothic" w:hAnsi="Century Gothic" w:cs="Tahoma"/>
        </w:rPr>
      </w:pPr>
      <w:r w:rsidRPr="00852E5D">
        <w:rPr>
          <w:rFonts w:ascii="Century Gothic" w:hAnsi="Century Gothic" w:cs="Tahoma"/>
        </w:rPr>
        <w:t>Que el 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 el artículo 48 d</w:t>
      </w:r>
      <w:r w:rsidR="009A68CD">
        <w:rPr>
          <w:rFonts w:ascii="Century Gothic" w:hAnsi="Century Gothic" w:cs="Tahoma"/>
        </w:rPr>
        <w:t>e la Ley de Coordinación Fiscal.</w:t>
      </w:r>
    </w:p>
    <w:p w14:paraId="4C5F527E" w14:textId="77777777" w:rsidR="00852E5D" w:rsidRDefault="00852E5D" w:rsidP="00852E5D">
      <w:pPr>
        <w:contextualSpacing/>
        <w:jc w:val="both"/>
        <w:rPr>
          <w:rFonts w:ascii="Century Gothic" w:eastAsia="Times New Roman" w:hAnsi="Century Gothic" w:cs="Tahoma"/>
          <w:lang w:val="es-ES" w:eastAsia="es-ES"/>
        </w:rPr>
      </w:pPr>
    </w:p>
    <w:p w14:paraId="35187D06" w14:textId="438BF447" w:rsidR="0062338C" w:rsidRPr="00852E5D" w:rsidRDefault="0062338C" w:rsidP="00852E5D">
      <w:pPr>
        <w:contextualSpacing/>
        <w:jc w:val="both"/>
        <w:rPr>
          <w:rFonts w:ascii="Century Gothic" w:hAnsi="Century Gothic" w:cs="Tahoma"/>
        </w:rPr>
      </w:pPr>
      <w:r w:rsidRPr="00852E5D">
        <w:rPr>
          <w:rFonts w:ascii="Century Gothic" w:hAnsi="Century Gothic" w:cs="Tahoma"/>
        </w:rPr>
        <w:t>Que a</w:t>
      </w:r>
      <w:r w:rsidR="002C6602" w:rsidRPr="00852E5D">
        <w:rPr>
          <w:rFonts w:ascii="Century Gothic" w:hAnsi="Century Gothic" w:cs="Tahoma"/>
        </w:rPr>
        <w:t xml:space="preserve"> más tardar el 15 de enero de cada año, los estados y municipios </w:t>
      </w:r>
      <w:r w:rsidRPr="00852E5D">
        <w:rPr>
          <w:rFonts w:ascii="Century Gothic" w:hAnsi="Century Gothic" w:cs="Tahoma"/>
        </w:rPr>
        <w:t>deben</w:t>
      </w:r>
      <w:r w:rsidR="002C6602" w:rsidRPr="00852E5D">
        <w:rPr>
          <w:rFonts w:ascii="Century Gothic" w:hAnsi="Century Gothic" w:cs="Tahoma"/>
        </w:rPr>
        <w:t xml:space="preserve"> reintegrar a la Tesorería de la Federación las Transferencias federales etiquetadas que, al 31 de diciembre del ejercicio fiscal inmediato anterior, no </w:t>
      </w:r>
      <w:r w:rsidRPr="00852E5D">
        <w:rPr>
          <w:rFonts w:ascii="Century Gothic" w:hAnsi="Century Gothic" w:cs="Tahoma"/>
        </w:rPr>
        <w:t>fueron</w:t>
      </w:r>
      <w:r w:rsidR="002C6602" w:rsidRPr="00852E5D">
        <w:rPr>
          <w:rFonts w:ascii="Century Gothic" w:hAnsi="Century Gothic" w:cs="Tahoma"/>
        </w:rPr>
        <w:t xml:space="preserve"> devengadas por sus Entes Públicos, de conformidad con lo establecido en la Ley de Disciplina Financiera de las Entidad</w:t>
      </w:r>
      <w:r w:rsidRPr="00852E5D">
        <w:rPr>
          <w:rFonts w:ascii="Century Gothic" w:hAnsi="Century Gothic" w:cs="Tahoma"/>
        </w:rPr>
        <w:t>es</w:t>
      </w:r>
      <w:r w:rsidR="009A68CD">
        <w:rPr>
          <w:rFonts w:ascii="Century Gothic" w:hAnsi="Century Gothic" w:cs="Tahoma"/>
        </w:rPr>
        <w:t xml:space="preserve"> Federativas y los Municipios.</w:t>
      </w:r>
    </w:p>
    <w:p w14:paraId="7FEC9844" w14:textId="77777777" w:rsidR="00852E5D" w:rsidRDefault="00852E5D" w:rsidP="00852E5D">
      <w:pPr>
        <w:contextualSpacing/>
        <w:jc w:val="both"/>
        <w:rPr>
          <w:rFonts w:ascii="Century Gothic" w:eastAsia="Times New Roman" w:hAnsi="Century Gothic" w:cs="Tahoma"/>
          <w:lang w:val="es-ES" w:eastAsia="es-ES"/>
        </w:rPr>
      </w:pPr>
    </w:p>
    <w:p w14:paraId="16E4B832" w14:textId="37506427" w:rsidR="0062338C" w:rsidRPr="00852E5D" w:rsidRDefault="009A68CD" w:rsidP="00852E5D">
      <w:pPr>
        <w:contextualSpacing/>
        <w:jc w:val="both"/>
        <w:rPr>
          <w:rFonts w:ascii="Century Gothic" w:hAnsi="Century Gothic" w:cs="Tahoma"/>
        </w:rPr>
      </w:pPr>
      <w:r>
        <w:rPr>
          <w:rFonts w:ascii="Century Gothic" w:hAnsi="Century Gothic" w:cs="Tahoma"/>
        </w:rPr>
        <w:t>Y, q</w:t>
      </w:r>
      <w:r w:rsidR="0062338C" w:rsidRPr="00852E5D">
        <w:rPr>
          <w:rFonts w:ascii="Century Gothic" w:hAnsi="Century Gothic" w:cs="Tahoma"/>
        </w:rPr>
        <w:t>ue la observancia de dichas disposiciones protege a la Hacienda Pública, fortalece a la fiscalización superior en el Estado y permite el ejercicio correcto de los recursos públicos.</w:t>
      </w:r>
    </w:p>
    <w:p w14:paraId="30AC63A4" w14:textId="77777777" w:rsidR="00E83770" w:rsidRPr="0062338C" w:rsidRDefault="00E83770" w:rsidP="00E83770">
      <w:pPr>
        <w:spacing w:after="0" w:line="264" w:lineRule="auto"/>
        <w:jc w:val="both"/>
        <w:rPr>
          <w:rFonts w:ascii="Century Gothic" w:hAnsi="Century Gothic" w:cs="Arial"/>
        </w:rPr>
      </w:pPr>
    </w:p>
    <w:p w14:paraId="1288D95F" w14:textId="7406D24A" w:rsidR="00DE12F3" w:rsidRPr="0062338C" w:rsidRDefault="009A68CD" w:rsidP="00DE12F3">
      <w:pPr>
        <w:spacing w:after="0" w:line="264" w:lineRule="auto"/>
        <w:jc w:val="both"/>
        <w:rPr>
          <w:rFonts w:ascii="Century Gothic" w:hAnsi="Century Gothic" w:cs="Arial"/>
        </w:rPr>
      </w:pPr>
      <w:r>
        <w:rPr>
          <w:rFonts w:ascii="Century Gothic" w:hAnsi="Century Gothic" w:cs="Arial"/>
        </w:rPr>
        <w:t>Por lo tanto, l</w:t>
      </w:r>
      <w:r w:rsidR="00DE12F3" w:rsidRPr="0062338C">
        <w:rPr>
          <w:rFonts w:ascii="Century Gothic" w:hAnsi="Century Gothic" w:cs="Arial"/>
        </w:rPr>
        <w:t>os integrantes de la Comisi</w:t>
      </w:r>
      <w:r w:rsidR="00376CD8" w:rsidRPr="0062338C">
        <w:rPr>
          <w:rFonts w:ascii="Century Gothic" w:hAnsi="Century Gothic" w:cs="Arial"/>
        </w:rPr>
        <w:t>ón</w:t>
      </w:r>
      <w:r w:rsidR="00DE12F3" w:rsidRPr="0062338C">
        <w:rPr>
          <w:rFonts w:ascii="Century Gothic" w:hAnsi="Century Gothic" w:cs="Arial"/>
        </w:rPr>
        <w:t xml:space="preserve"> </w:t>
      </w:r>
      <w:r w:rsidR="00023947" w:rsidRPr="0062338C">
        <w:rPr>
          <w:rFonts w:ascii="Century Gothic" w:hAnsi="Century Gothic" w:cs="Arial"/>
        </w:rPr>
        <w:t>Inspectora de la Auditoría Superior del Estado</w:t>
      </w:r>
      <w:r w:rsidR="00852E5D">
        <w:rPr>
          <w:rFonts w:ascii="Century Gothic" w:hAnsi="Century Gothic" w:cs="Arial"/>
        </w:rPr>
        <w:t>,</w:t>
      </w:r>
      <w:r w:rsidR="00023947" w:rsidRPr="0062338C">
        <w:rPr>
          <w:rFonts w:ascii="Century Gothic" w:hAnsi="Century Gothic" w:cs="Arial"/>
        </w:rPr>
        <w:t xml:space="preserve"> </w:t>
      </w:r>
      <w:r w:rsidR="00DE12F3" w:rsidRPr="0062338C">
        <w:rPr>
          <w:rFonts w:ascii="Century Gothic" w:hAnsi="Century Gothic" w:cs="Arial"/>
        </w:rPr>
        <w:t xml:space="preserve">posterior al estudio y análisis </w:t>
      </w:r>
      <w:r w:rsidR="00852E5D">
        <w:rPr>
          <w:rFonts w:ascii="Century Gothic" w:hAnsi="Century Gothic" w:cs="Arial"/>
        </w:rPr>
        <w:t>de lo anterior,</w:t>
      </w:r>
      <w:r w:rsidR="00DE12F3" w:rsidRPr="0062338C">
        <w:rPr>
          <w:rFonts w:ascii="Century Gothic" w:hAnsi="Century Gothic" w:cs="Arial"/>
        </w:rPr>
        <w:t xml:space="preserve"> tenemos a bien:</w:t>
      </w:r>
    </w:p>
    <w:p w14:paraId="2707BE3F" w14:textId="47269310" w:rsidR="00DE12F3" w:rsidRPr="0062338C" w:rsidRDefault="00DE12F3" w:rsidP="00DE12F3">
      <w:pPr>
        <w:spacing w:after="0" w:line="264" w:lineRule="auto"/>
        <w:jc w:val="both"/>
        <w:rPr>
          <w:rFonts w:ascii="Century Gothic" w:hAnsi="Century Gothic" w:cs="Arial"/>
        </w:rPr>
      </w:pPr>
    </w:p>
    <w:p w14:paraId="6F1A3B38" w14:textId="6E1AFEF7" w:rsidR="00DE12F3" w:rsidRPr="0062338C" w:rsidRDefault="00DE12F3" w:rsidP="002C6602">
      <w:pPr>
        <w:contextualSpacing/>
        <w:jc w:val="both"/>
        <w:rPr>
          <w:rFonts w:ascii="Century Gothic" w:hAnsi="Century Gothic" w:cs="Tahoma"/>
        </w:rPr>
      </w:pPr>
      <w:r w:rsidRPr="0062338C">
        <w:rPr>
          <w:rFonts w:ascii="Century Gothic" w:hAnsi="Century Gothic" w:cs="Arial"/>
          <w:b/>
        </w:rPr>
        <w:t>ÚNICO.-</w:t>
      </w:r>
      <w:r w:rsidR="002C6602" w:rsidRPr="0062338C">
        <w:rPr>
          <w:rFonts w:ascii="Century Gothic" w:hAnsi="Century Gothic" w:cs="Arial"/>
        </w:rPr>
        <w:t xml:space="preserve"> Dictaminar como procedente el Punto de Acuerdo que presentó </w:t>
      </w:r>
      <w:r w:rsidR="002C6602" w:rsidRPr="0062338C">
        <w:rPr>
          <w:rFonts w:ascii="Century Gothic" w:hAnsi="Century Gothic" w:cs="Tahoma"/>
        </w:rPr>
        <w:t>la Diputada Guadalupe Tlaque Cuazitl, integrante del grupo parlamentario del partido MORENA, y someterlo a consideración de esta Soberanía.</w:t>
      </w:r>
    </w:p>
    <w:p w14:paraId="5C5EC65B" w14:textId="77777777" w:rsidR="00DE12F3" w:rsidRPr="0062338C" w:rsidRDefault="00DE12F3" w:rsidP="00DE12F3">
      <w:pPr>
        <w:spacing w:after="0" w:line="264" w:lineRule="auto"/>
        <w:jc w:val="both"/>
        <w:rPr>
          <w:rFonts w:ascii="Century Gothic" w:hAnsi="Century Gothic" w:cs="Arial"/>
        </w:rPr>
      </w:pPr>
    </w:p>
    <w:p w14:paraId="3AEC8A5E" w14:textId="7A937D48" w:rsidR="00DE12F3" w:rsidRPr="0062338C" w:rsidRDefault="009A68CD" w:rsidP="00DE12F3">
      <w:pPr>
        <w:spacing w:after="0" w:line="264" w:lineRule="auto"/>
        <w:jc w:val="both"/>
        <w:rPr>
          <w:rFonts w:ascii="Century Gothic" w:hAnsi="Century Gothic" w:cs="Tahoma"/>
        </w:rPr>
      </w:pPr>
      <w:r>
        <w:rPr>
          <w:rFonts w:ascii="Century Gothic" w:hAnsi="Century Gothic" w:cs="Tahoma"/>
        </w:rPr>
        <w:lastRenderedPageBreak/>
        <w:t>Así, p</w:t>
      </w:r>
      <w:r w:rsidR="00DE12F3" w:rsidRPr="0062338C">
        <w:rPr>
          <w:rFonts w:ascii="Century Gothic" w:hAnsi="Century Gothic" w:cs="Tahoma"/>
        </w:rPr>
        <w:t xml:space="preserve">or lo anteriormente expuesto y con fundamento en lo dispuesto por los artículos </w:t>
      </w:r>
      <w:r w:rsidR="001554E3" w:rsidRPr="0062338C">
        <w:rPr>
          <w:rFonts w:ascii="Century Gothic" w:hAnsi="Century Gothic" w:cs="Tahoma"/>
        </w:rPr>
        <w:t xml:space="preserve">57 fracción I y </w:t>
      </w:r>
      <w:r w:rsidR="00DE12F3" w:rsidRPr="0062338C">
        <w:rPr>
          <w:rFonts w:ascii="Century Gothic" w:hAnsi="Century Gothic" w:cs="Tahoma"/>
        </w:rPr>
        <w:t>64 fracción I</w:t>
      </w:r>
      <w:r w:rsidR="00DE12F3" w:rsidRPr="0062338C">
        <w:rPr>
          <w:rFonts w:ascii="Century Gothic" w:hAnsi="Century Gothic"/>
        </w:rPr>
        <w:t xml:space="preserve"> de la </w:t>
      </w:r>
      <w:r w:rsidR="00DE12F3" w:rsidRPr="0062338C">
        <w:rPr>
          <w:rFonts w:ascii="Century Gothic" w:hAnsi="Century Gothic" w:cs="Tahoma"/>
        </w:rPr>
        <w:t xml:space="preserve">Constitución Política del Estado Libre y Soberano de Puebla; 102, 115 fracción III, 119, </w:t>
      </w:r>
      <w:r w:rsidR="00E83770" w:rsidRPr="0062338C">
        <w:rPr>
          <w:rFonts w:ascii="Century Gothic" w:hAnsi="Century Gothic" w:cs="Tahoma"/>
        </w:rPr>
        <w:t xml:space="preserve">123 fracción </w:t>
      </w:r>
      <w:r w:rsidR="00EE73CE" w:rsidRPr="0062338C">
        <w:rPr>
          <w:rFonts w:ascii="Century Gothic" w:hAnsi="Century Gothic" w:cs="Tahoma"/>
        </w:rPr>
        <w:t>XV</w:t>
      </w:r>
      <w:r w:rsidR="00E83770" w:rsidRPr="0062338C">
        <w:rPr>
          <w:rFonts w:ascii="Century Gothic" w:hAnsi="Century Gothic" w:cs="Tahoma"/>
        </w:rPr>
        <w:t xml:space="preserve">, 151,152, 153 y 154 de la Ley Orgánica del Poder Legislativo del Estado Libre y Soberano de Puebla; 45, 46, 47, 48 fracción </w:t>
      </w:r>
      <w:r w:rsidR="00EE73CE" w:rsidRPr="0062338C">
        <w:rPr>
          <w:rFonts w:ascii="Century Gothic" w:hAnsi="Century Gothic" w:cs="Tahoma"/>
        </w:rPr>
        <w:t>XV</w:t>
      </w:r>
      <w:r w:rsidR="00E83770" w:rsidRPr="0062338C">
        <w:rPr>
          <w:rFonts w:ascii="Century Gothic" w:hAnsi="Century Gothic" w:cs="Tahoma"/>
        </w:rPr>
        <w:t xml:space="preserve"> del Reglamento Interior del Honorable Congreso del Estado Libre y Soberano de Puebla</w:t>
      </w:r>
      <w:r w:rsidR="00DE12F3" w:rsidRPr="0062338C">
        <w:rPr>
          <w:rFonts w:ascii="Century Gothic" w:hAnsi="Century Gothic" w:cs="Tahoma"/>
        </w:rPr>
        <w:t>, nos permitimos someter a consideración de esta Soberanía, el siguiente:</w:t>
      </w:r>
    </w:p>
    <w:p w14:paraId="391B3A0B" w14:textId="3275C2DA" w:rsidR="002C6602" w:rsidRPr="0062338C" w:rsidRDefault="002C6602" w:rsidP="002C6602">
      <w:pPr>
        <w:spacing w:after="0" w:line="360" w:lineRule="auto"/>
        <w:jc w:val="center"/>
        <w:rPr>
          <w:rFonts w:ascii="Century Gothic" w:hAnsi="Century Gothic"/>
          <w:b/>
          <w:bCs/>
        </w:rPr>
      </w:pPr>
      <w:r w:rsidRPr="0062338C">
        <w:rPr>
          <w:rFonts w:ascii="Century Gothic" w:hAnsi="Century Gothic" w:cs="Arial"/>
        </w:rPr>
        <w:t xml:space="preserve"> </w:t>
      </w:r>
      <w:r w:rsidR="00852E5D">
        <w:rPr>
          <w:rFonts w:ascii="Century Gothic" w:hAnsi="Century Gothic"/>
          <w:b/>
          <w:bCs/>
        </w:rPr>
        <w:t>A C U E R D O</w:t>
      </w:r>
    </w:p>
    <w:p w14:paraId="648E901C" w14:textId="77777777" w:rsidR="002C6602" w:rsidRPr="0062338C" w:rsidRDefault="002C6602" w:rsidP="002C6602">
      <w:pPr>
        <w:spacing w:after="0" w:line="360" w:lineRule="auto"/>
        <w:jc w:val="center"/>
        <w:rPr>
          <w:rFonts w:ascii="Century Gothic" w:hAnsi="Century Gothic"/>
          <w:b/>
          <w:bCs/>
        </w:rPr>
      </w:pPr>
    </w:p>
    <w:p w14:paraId="4C3B7363" w14:textId="4DEA021F" w:rsidR="002C6602" w:rsidRPr="0062338C" w:rsidRDefault="009A68CD" w:rsidP="002C6602">
      <w:pPr>
        <w:spacing w:after="0" w:line="360" w:lineRule="auto"/>
        <w:jc w:val="both"/>
        <w:rPr>
          <w:rFonts w:ascii="Century Gothic" w:hAnsi="Century Gothic"/>
        </w:rPr>
      </w:pPr>
      <w:r>
        <w:rPr>
          <w:rFonts w:ascii="Century Gothic" w:hAnsi="Century Gothic"/>
          <w:b/>
          <w:bCs/>
        </w:rPr>
        <w:t>ÚNICO</w:t>
      </w:r>
      <w:r w:rsidR="002C6602" w:rsidRPr="0062338C">
        <w:rPr>
          <w:rFonts w:ascii="Century Gothic" w:hAnsi="Century Gothic"/>
          <w:b/>
          <w:bCs/>
        </w:rPr>
        <w:t>.</w:t>
      </w:r>
      <w:r>
        <w:rPr>
          <w:rFonts w:ascii="Century Gothic" w:hAnsi="Century Gothic"/>
          <w:b/>
          <w:bCs/>
        </w:rPr>
        <w:t>-</w:t>
      </w:r>
      <w:r w:rsidR="002C6602" w:rsidRPr="0062338C">
        <w:rPr>
          <w:rFonts w:ascii="Century Gothic" w:hAnsi="Century Gothic"/>
        </w:rPr>
        <w:t xml:space="preserve"> Se </w:t>
      </w:r>
      <w:r w:rsidR="0004322E">
        <w:rPr>
          <w:rFonts w:ascii="Century Gothic" w:hAnsi="Century Gothic"/>
        </w:rPr>
        <w:t>exhorta respetuosa y atentamente</w:t>
      </w:r>
      <w:r w:rsidR="002C6602" w:rsidRPr="0062338C">
        <w:rPr>
          <w:rFonts w:ascii="Century Gothic" w:hAnsi="Century Gothic"/>
        </w:rPr>
        <w:t xml:space="preserve"> a los </w:t>
      </w:r>
      <w:r w:rsidR="00157525">
        <w:rPr>
          <w:rFonts w:ascii="Century Gothic" w:hAnsi="Century Gothic"/>
        </w:rPr>
        <w:t>doscientos diecisiete</w:t>
      </w:r>
      <w:r w:rsidR="002C6602" w:rsidRPr="0062338C">
        <w:rPr>
          <w:rFonts w:ascii="Century Gothic" w:hAnsi="Century Gothic"/>
        </w:rPr>
        <w:t xml:space="preserve"> Ayuntamientos del Estado de Puebla para que en el ámbito de sus respectivas atribuciones realicen las actuaciones pertinentes que permitan la correcta aplicación de los recursos del F</w:t>
      </w:r>
      <w:r w:rsidR="00852E5D">
        <w:rPr>
          <w:rFonts w:ascii="Century Gothic" w:hAnsi="Century Gothic"/>
        </w:rPr>
        <w:t xml:space="preserve">ondo de </w:t>
      </w:r>
      <w:r w:rsidR="002C6602" w:rsidRPr="0062338C">
        <w:rPr>
          <w:rFonts w:ascii="Century Gothic" w:hAnsi="Century Gothic"/>
        </w:rPr>
        <w:t>A</w:t>
      </w:r>
      <w:r w:rsidR="00852E5D">
        <w:rPr>
          <w:rFonts w:ascii="Century Gothic" w:hAnsi="Century Gothic"/>
        </w:rPr>
        <w:t xml:space="preserve">portaciones para la </w:t>
      </w:r>
      <w:r w:rsidR="002C6602" w:rsidRPr="0062338C">
        <w:rPr>
          <w:rFonts w:ascii="Century Gothic" w:hAnsi="Century Gothic"/>
        </w:rPr>
        <w:t>I</w:t>
      </w:r>
      <w:r w:rsidR="00852E5D">
        <w:rPr>
          <w:rFonts w:ascii="Century Gothic" w:hAnsi="Century Gothic"/>
        </w:rPr>
        <w:t xml:space="preserve">nfraestructura </w:t>
      </w:r>
      <w:r w:rsidR="002C6602" w:rsidRPr="0062338C">
        <w:rPr>
          <w:rFonts w:ascii="Century Gothic" w:hAnsi="Century Gothic"/>
        </w:rPr>
        <w:t>S</w:t>
      </w:r>
      <w:r w:rsidR="00852E5D">
        <w:rPr>
          <w:rFonts w:ascii="Century Gothic" w:hAnsi="Century Gothic"/>
        </w:rPr>
        <w:t>ocial</w:t>
      </w:r>
      <w:r>
        <w:rPr>
          <w:rFonts w:ascii="Century Gothic" w:hAnsi="Century Gothic"/>
        </w:rPr>
        <w:t xml:space="preserve"> y,</w:t>
      </w:r>
      <w:r w:rsidR="002C6602" w:rsidRPr="0062338C">
        <w:rPr>
          <w:rFonts w:ascii="Century Gothic" w:hAnsi="Century Gothic"/>
        </w:rPr>
        <w:t xml:space="preserve"> sobre todo</w:t>
      </w:r>
      <w:r>
        <w:rPr>
          <w:rFonts w:ascii="Century Gothic" w:hAnsi="Century Gothic"/>
        </w:rPr>
        <w:t>,</w:t>
      </w:r>
      <w:r w:rsidR="002C6602" w:rsidRPr="0062338C">
        <w:rPr>
          <w:rFonts w:ascii="Century Gothic" w:hAnsi="Century Gothic"/>
        </w:rPr>
        <w:t xml:space="preserve"> su debida comprobación con el objeto de evitar sanciones administrativas.</w:t>
      </w:r>
    </w:p>
    <w:p w14:paraId="1927ADF5" w14:textId="6699E60C" w:rsidR="00DE12F3" w:rsidRPr="0062338C" w:rsidRDefault="00DE12F3" w:rsidP="00DE12F3">
      <w:pPr>
        <w:spacing w:after="0" w:line="264" w:lineRule="auto"/>
        <w:jc w:val="both"/>
        <w:rPr>
          <w:rFonts w:ascii="Century Gothic" w:hAnsi="Century Gothic" w:cs="Arial"/>
        </w:rPr>
      </w:pPr>
    </w:p>
    <w:p w14:paraId="32B31EEC" w14:textId="0B3AA4BC" w:rsidR="002C6602" w:rsidRPr="0062338C" w:rsidRDefault="002C6602" w:rsidP="00DE12F3">
      <w:pPr>
        <w:spacing w:after="0" w:line="264" w:lineRule="auto"/>
        <w:jc w:val="both"/>
        <w:rPr>
          <w:rFonts w:ascii="Century Gothic" w:hAnsi="Century Gothic" w:cs="Arial"/>
        </w:rPr>
      </w:pPr>
      <w:r w:rsidRPr="0062338C">
        <w:rPr>
          <w:rFonts w:ascii="Century Gothic" w:hAnsi="Century Gothic" w:cs="Arial"/>
        </w:rPr>
        <w:t>Notifíquese.</w:t>
      </w:r>
    </w:p>
    <w:p w14:paraId="600F43B4" w14:textId="77777777" w:rsidR="00852E5D" w:rsidRDefault="00852E5D">
      <w:pPr>
        <w:spacing w:after="0" w:line="264" w:lineRule="auto"/>
        <w:ind w:right="612"/>
        <w:jc w:val="both"/>
        <w:rPr>
          <w:rFonts w:ascii="Century Gothic" w:eastAsia="Times New Roman" w:hAnsi="Century Gothic" w:cs="Tahoma"/>
          <w:b/>
          <w:lang w:eastAsia="es-ES"/>
        </w:rPr>
      </w:pPr>
      <w:r>
        <w:rPr>
          <w:rFonts w:ascii="Century Gothic" w:eastAsia="Times New Roman" w:hAnsi="Century Gothic" w:cs="Tahoma"/>
          <w:b/>
          <w:lang w:eastAsia="es-ES"/>
        </w:rPr>
        <w:br w:type="page"/>
      </w:r>
    </w:p>
    <w:p w14:paraId="1A2A8208" w14:textId="3D82DAC3" w:rsidR="00853141" w:rsidRPr="0062338C" w:rsidRDefault="00853141" w:rsidP="00853141">
      <w:pPr>
        <w:spacing w:after="0" w:line="264" w:lineRule="auto"/>
        <w:jc w:val="center"/>
        <w:rPr>
          <w:rFonts w:ascii="Century Gothic" w:eastAsia="Times New Roman" w:hAnsi="Century Gothic" w:cs="Tahoma"/>
          <w:b/>
          <w:lang w:eastAsia="es-ES"/>
        </w:rPr>
      </w:pPr>
      <w:r w:rsidRPr="0062338C">
        <w:rPr>
          <w:rFonts w:ascii="Century Gothic" w:eastAsia="Times New Roman" w:hAnsi="Century Gothic" w:cs="Tahoma"/>
          <w:b/>
          <w:lang w:eastAsia="es-ES"/>
        </w:rPr>
        <w:lastRenderedPageBreak/>
        <w:t>A T E N T A M E N T E</w:t>
      </w:r>
    </w:p>
    <w:p w14:paraId="6BCB1D15" w14:textId="77777777" w:rsidR="00853141" w:rsidRPr="0062338C" w:rsidRDefault="00853141" w:rsidP="00853141">
      <w:pPr>
        <w:spacing w:after="0" w:line="240" w:lineRule="auto"/>
        <w:jc w:val="center"/>
        <w:rPr>
          <w:rFonts w:ascii="Century Gothic" w:hAnsi="Century Gothic" w:cstheme="majorHAnsi"/>
          <w:b/>
        </w:rPr>
      </w:pPr>
      <w:r w:rsidRPr="0062338C">
        <w:rPr>
          <w:rFonts w:ascii="Century Gothic" w:hAnsi="Century Gothic" w:cstheme="majorHAnsi"/>
          <w:b/>
        </w:rPr>
        <w:t>SALA DE COMISIONES DEL HONORABLE CONGRESO DEL ESTADO”</w:t>
      </w:r>
    </w:p>
    <w:p w14:paraId="6A27A6F6" w14:textId="5B5995B9" w:rsidR="00853141" w:rsidRPr="0062338C" w:rsidRDefault="00853141" w:rsidP="00853141">
      <w:pPr>
        <w:spacing w:after="0" w:line="240" w:lineRule="auto"/>
        <w:jc w:val="center"/>
        <w:rPr>
          <w:rFonts w:ascii="Century Gothic" w:hAnsi="Century Gothic" w:cstheme="majorHAnsi"/>
          <w:b/>
        </w:rPr>
      </w:pPr>
      <w:r w:rsidRPr="0062338C">
        <w:rPr>
          <w:rFonts w:ascii="Century Gothic" w:hAnsi="Century Gothic" w:cstheme="majorHAnsi"/>
          <w:b/>
        </w:rPr>
        <w:t xml:space="preserve">CUATRO VECES HEROICA PUEBLA DE ZARAGOZA, </w:t>
      </w:r>
      <w:r w:rsidR="002C6602" w:rsidRPr="0062338C">
        <w:rPr>
          <w:rFonts w:ascii="Century Gothic" w:hAnsi="Century Gothic" w:cstheme="majorHAnsi"/>
          <w:b/>
        </w:rPr>
        <w:t>5</w:t>
      </w:r>
      <w:r w:rsidRPr="0062338C">
        <w:rPr>
          <w:rFonts w:ascii="Century Gothic" w:hAnsi="Century Gothic" w:cstheme="majorHAnsi"/>
          <w:b/>
        </w:rPr>
        <w:t xml:space="preserve"> DE </w:t>
      </w:r>
      <w:r w:rsidR="002C6602" w:rsidRPr="0062338C">
        <w:rPr>
          <w:rFonts w:ascii="Century Gothic" w:hAnsi="Century Gothic" w:cstheme="majorHAnsi"/>
          <w:b/>
        </w:rPr>
        <w:t>FEBRERO DE 2020</w:t>
      </w:r>
      <w:r w:rsidRPr="0062338C">
        <w:rPr>
          <w:rFonts w:ascii="Century Gothic" w:hAnsi="Century Gothic" w:cstheme="majorHAnsi"/>
          <w:b/>
        </w:rPr>
        <w:t>.</w:t>
      </w:r>
    </w:p>
    <w:p w14:paraId="0E3D20C8" w14:textId="77777777" w:rsidR="00853141" w:rsidRPr="0062338C" w:rsidRDefault="00853141" w:rsidP="00853141">
      <w:pPr>
        <w:spacing w:after="0" w:line="240" w:lineRule="auto"/>
        <w:jc w:val="center"/>
        <w:rPr>
          <w:rFonts w:ascii="Century Gothic" w:hAnsi="Century Gothic" w:cstheme="majorHAnsi"/>
          <w:b/>
          <w:lang w:val="pt-BR"/>
        </w:rPr>
      </w:pPr>
    </w:p>
    <w:p w14:paraId="5A1F6455" w14:textId="77777777" w:rsidR="00853141" w:rsidRPr="0062338C" w:rsidRDefault="00853141" w:rsidP="00853141">
      <w:pPr>
        <w:spacing w:after="0" w:line="240" w:lineRule="auto"/>
        <w:jc w:val="center"/>
        <w:rPr>
          <w:rFonts w:ascii="Century Gothic" w:hAnsi="Century Gothic" w:cstheme="majorHAnsi"/>
          <w:b/>
          <w:lang w:val="pt-BR"/>
        </w:rPr>
      </w:pPr>
    </w:p>
    <w:p w14:paraId="0158FC41" w14:textId="77777777" w:rsidR="00853141" w:rsidRPr="0062338C" w:rsidRDefault="00853141" w:rsidP="00853141">
      <w:pPr>
        <w:spacing w:after="0" w:line="240" w:lineRule="auto"/>
        <w:jc w:val="center"/>
        <w:rPr>
          <w:rFonts w:ascii="Century Gothic" w:hAnsi="Century Gothic" w:cstheme="majorHAnsi"/>
          <w:b/>
          <w:lang w:val="pt-BR"/>
        </w:rPr>
      </w:pPr>
    </w:p>
    <w:p w14:paraId="4DD20841" w14:textId="77777777" w:rsidR="00853141" w:rsidRPr="0062338C" w:rsidRDefault="00853141" w:rsidP="00853141">
      <w:pPr>
        <w:spacing w:after="0" w:line="240" w:lineRule="auto"/>
        <w:jc w:val="center"/>
        <w:rPr>
          <w:rFonts w:ascii="Century Gothic" w:hAnsi="Century Gothic" w:cstheme="majorHAnsi"/>
          <w:lang w:val="pt-B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22555" w:rsidRPr="0062338C" w14:paraId="78BB1563" w14:textId="77777777" w:rsidTr="002035DC">
        <w:tc>
          <w:tcPr>
            <w:tcW w:w="4489" w:type="dxa"/>
            <w:vAlign w:val="center"/>
          </w:tcPr>
          <w:p w14:paraId="4216EAC6" w14:textId="77777777" w:rsidR="00A22555" w:rsidRPr="0062338C" w:rsidRDefault="00A22555" w:rsidP="002035DC">
            <w:pPr>
              <w:spacing w:after="0" w:line="240" w:lineRule="auto"/>
              <w:jc w:val="center"/>
              <w:rPr>
                <w:rFonts w:ascii="Century Gothic" w:hAnsi="Century Gothic" w:cs="Tahoma"/>
              </w:rPr>
            </w:pPr>
          </w:p>
          <w:p w14:paraId="043989CC" w14:textId="77777777" w:rsidR="00A22555" w:rsidRPr="0062338C" w:rsidRDefault="00A22555" w:rsidP="002035DC">
            <w:pPr>
              <w:spacing w:after="0" w:line="240" w:lineRule="auto"/>
              <w:jc w:val="center"/>
              <w:rPr>
                <w:rFonts w:ascii="Century Gothic" w:hAnsi="Century Gothic" w:cs="Tahoma"/>
              </w:rPr>
            </w:pPr>
          </w:p>
          <w:p w14:paraId="2E67FEBF" w14:textId="77777777" w:rsidR="00A22555" w:rsidRPr="0062338C" w:rsidRDefault="00A22555" w:rsidP="002035DC">
            <w:pPr>
              <w:spacing w:after="0" w:line="240" w:lineRule="auto"/>
              <w:jc w:val="center"/>
              <w:rPr>
                <w:rFonts w:ascii="Century Gothic" w:hAnsi="Century Gothic" w:cs="Tahoma"/>
              </w:rPr>
            </w:pPr>
          </w:p>
          <w:p w14:paraId="66A4C298"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59CA3FEC"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Olga Lucía Romero Garci Crespo</w:t>
            </w:r>
          </w:p>
          <w:p w14:paraId="3F03207E"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Presidenta</w:t>
            </w:r>
          </w:p>
        </w:tc>
        <w:tc>
          <w:tcPr>
            <w:tcW w:w="4489" w:type="dxa"/>
            <w:vAlign w:val="center"/>
          </w:tcPr>
          <w:p w14:paraId="760260DB" w14:textId="77777777" w:rsidR="00A22555" w:rsidRPr="0062338C" w:rsidRDefault="00A22555" w:rsidP="002035DC">
            <w:pPr>
              <w:spacing w:after="0" w:line="240" w:lineRule="auto"/>
              <w:jc w:val="center"/>
              <w:rPr>
                <w:rFonts w:ascii="Century Gothic" w:hAnsi="Century Gothic" w:cs="Tahoma"/>
              </w:rPr>
            </w:pPr>
          </w:p>
          <w:p w14:paraId="544A9EA7" w14:textId="77777777" w:rsidR="00A22555" w:rsidRPr="0062338C" w:rsidRDefault="00A22555" w:rsidP="002035DC">
            <w:pPr>
              <w:spacing w:after="0" w:line="240" w:lineRule="auto"/>
              <w:jc w:val="center"/>
              <w:rPr>
                <w:rFonts w:ascii="Century Gothic" w:hAnsi="Century Gothic" w:cs="Tahoma"/>
              </w:rPr>
            </w:pPr>
          </w:p>
          <w:p w14:paraId="4DB5587D" w14:textId="77777777" w:rsidR="00A22555" w:rsidRPr="0062338C" w:rsidRDefault="00A22555" w:rsidP="002035DC">
            <w:pPr>
              <w:spacing w:after="0" w:line="240" w:lineRule="auto"/>
              <w:jc w:val="center"/>
              <w:rPr>
                <w:rFonts w:ascii="Century Gothic" w:hAnsi="Century Gothic" w:cs="Tahoma"/>
              </w:rPr>
            </w:pPr>
          </w:p>
          <w:p w14:paraId="41109BDC"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353828B4"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Mónica Lara Chávez</w:t>
            </w:r>
          </w:p>
          <w:p w14:paraId="467E5CCE"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Secretaria</w:t>
            </w:r>
          </w:p>
        </w:tc>
      </w:tr>
      <w:tr w:rsidR="00A22555" w:rsidRPr="0062338C" w14:paraId="27543B81" w14:textId="77777777" w:rsidTr="002035DC">
        <w:tc>
          <w:tcPr>
            <w:tcW w:w="4489" w:type="dxa"/>
            <w:vAlign w:val="center"/>
          </w:tcPr>
          <w:p w14:paraId="3C306CE7" w14:textId="77777777" w:rsidR="00A22555" w:rsidRPr="0062338C" w:rsidRDefault="00A22555" w:rsidP="002035DC">
            <w:pPr>
              <w:spacing w:after="0" w:line="240" w:lineRule="auto"/>
              <w:jc w:val="center"/>
              <w:rPr>
                <w:rFonts w:ascii="Century Gothic" w:hAnsi="Century Gothic" w:cs="Tahoma"/>
              </w:rPr>
            </w:pPr>
          </w:p>
          <w:p w14:paraId="28CEB02A" w14:textId="77777777" w:rsidR="00A22555" w:rsidRPr="0062338C" w:rsidRDefault="00A22555" w:rsidP="002035DC">
            <w:pPr>
              <w:spacing w:after="0" w:line="240" w:lineRule="auto"/>
              <w:jc w:val="center"/>
              <w:rPr>
                <w:rFonts w:ascii="Century Gothic" w:hAnsi="Century Gothic" w:cs="Tahoma"/>
              </w:rPr>
            </w:pPr>
          </w:p>
          <w:p w14:paraId="1C48F15C" w14:textId="77777777" w:rsidR="00A22555" w:rsidRPr="0062338C" w:rsidRDefault="00A22555" w:rsidP="002035DC">
            <w:pPr>
              <w:spacing w:after="0" w:line="240" w:lineRule="auto"/>
              <w:jc w:val="center"/>
              <w:rPr>
                <w:rFonts w:ascii="Century Gothic" w:hAnsi="Century Gothic" w:cs="Tahoma"/>
              </w:rPr>
            </w:pPr>
          </w:p>
          <w:p w14:paraId="35600F71" w14:textId="77777777" w:rsidR="00A22555" w:rsidRPr="0062338C" w:rsidRDefault="00A22555" w:rsidP="002035DC">
            <w:pPr>
              <w:spacing w:after="0" w:line="240" w:lineRule="auto"/>
              <w:jc w:val="center"/>
              <w:rPr>
                <w:rFonts w:ascii="Century Gothic" w:hAnsi="Century Gothic" w:cs="Tahoma"/>
              </w:rPr>
            </w:pPr>
          </w:p>
          <w:p w14:paraId="413D44A8"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667FBC5E"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Raymundo Atanacio Luna</w:t>
            </w:r>
          </w:p>
          <w:p w14:paraId="4D6A4C19"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Vocal</w:t>
            </w:r>
          </w:p>
        </w:tc>
        <w:tc>
          <w:tcPr>
            <w:tcW w:w="4489" w:type="dxa"/>
            <w:vAlign w:val="center"/>
          </w:tcPr>
          <w:p w14:paraId="01F62EC8" w14:textId="77777777" w:rsidR="00A22555" w:rsidRPr="0062338C" w:rsidRDefault="00A22555" w:rsidP="002035DC">
            <w:pPr>
              <w:spacing w:after="0" w:line="240" w:lineRule="auto"/>
              <w:jc w:val="center"/>
              <w:rPr>
                <w:rFonts w:ascii="Century Gothic" w:hAnsi="Century Gothic" w:cs="Tahoma"/>
              </w:rPr>
            </w:pPr>
          </w:p>
          <w:p w14:paraId="5C6D5E02" w14:textId="77777777" w:rsidR="00A22555" w:rsidRPr="0062338C" w:rsidRDefault="00A22555" w:rsidP="002035DC">
            <w:pPr>
              <w:spacing w:after="0" w:line="240" w:lineRule="auto"/>
              <w:jc w:val="center"/>
              <w:rPr>
                <w:rFonts w:ascii="Century Gothic" w:hAnsi="Century Gothic" w:cs="Tahoma"/>
              </w:rPr>
            </w:pPr>
          </w:p>
          <w:p w14:paraId="6ABC6B23" w14:textId="77777777" w:rsidR="00A22555" w:rsidRPr="0062338C" w:rsidRDefault="00A22555" w:rsidP="002035DC">
            <w:pPr>
              <w:spacing w:after="0" w:line="240" w:lineRule="auto"/>
              <w:jc w:val="center"/>
              <w:rPr>
                <w:rFonts w:ascii="Century Gothic" w:hAnsi="Century Gothic" w:cs="Tahoma"/>
              </w:rPr>
            </w:pPr>
          </w:p>
          <w:p w14:paraId="59670A96" w14:textId="77777777" w:rsidR="00A22555" w:rsidRPr="0062338C" w:rsidRDefault="00A22555" w:rsidP="002035DC">
            <w:pPr>
              <w:spacing w:after="0" w:line="240" w:lineRule="auto"/>
              <w:jc w:val="center"/>
              <w:rPr>
                <w:rFonts w:ascii="Century Gothic" w:hAnsi="Century Gothic" w:cs="Tahoma"/>
              </w:rPr>
            </w:pPr>
          </w:p>
          <w:p w14:paraId="610DF368"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6F3FD198"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Emilio Ernesto Maurer Espinosa</w:t>
            </w:r>
          </w:p>
          <w:p w14:paraId="7E5894DF"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Vocal</w:t>
            </w:r>
          </w:p>
        </w:tc>
      </w:tr>
      <w:tr w:rsidR="00A22555" w:rsidRPr="0062338C" w14:paraId="25631765" w14:textId="77777777" w:rsidTr="002035DC">
        <w:tc>
          <w:tcPr>
            <w:tcW w:w="4489" w:type="dxa"/>
            <w:vAlign w:val="center"/>
          </w:tcPr>
          <w:p w14:paraId="657B8D84" w14:textId="77777777" w:rsidR="00A22555" w:rsidRPr="0062338C" w:rsidRDefault="00A22555" w:rsidP="002035DC">
            <w:pPr>
              <w:spacing w:after="0" w:line="240" w:lineRule="auto"/>
              <w:jc w:val="center"/>
              <w:rPr>
                <w:rFonts w:ascii="Century Gothic" w:hAnsi="Century Gothic" w:cs="Tahoma"/>
              </w:rPr>
            </w:pPr>
          </w:p>
          <w:p w14:paraId="4FF0EFFF" w14:textId="77777777" w:rsidR="00A22555" w:rsidRPr="0062338C" w:rsidRDefault="00A22555" w:rsidP="002035DC">
            <w:pPr>
              <w:spacing w:after="0" w:line="240" w:lineRule="auto"/>
              <w:jc w:val="center"/>
              <w:rPr>
                <w:rFonts w:ascii="Century Gothic" w:hAnsi="Century Gothic" w:cs="Tahoma"/>
              </w:rPr>
            </w:pPr>
          </w:p>
          <w:p w14:paraId="6933EAD1" w14:textId="77777777" w:rsidR="00A22555" w:rsidRPr="0062338C" w:rsidRDefault="00A22555" w:rsidP="002035DC">
            <w:pPr>
              <w:spacing w:after="0" w:line="240" w:lineRule="auto"/>
              <w:jc w:val="center"/>
              <w:rPr>
                <w:rFonts w:ascii="Century Gothic" w:hAnsi="Century Gothic" w:cs="Tahoma"/>
              </w:rPr>
            </w:pPr>
          </w:p>
          <w:p w14:paraId="07C44452" w14:textId="77777777" w:rsidR="00A22555" w:rsidRPr="0062338C" w:rsidRDefault="00A22555" w:rsidP="002035DC">
            <w:pPr>
              <w:spacing w:after="0" w:line="240" w:lineRule="auto"/>
              <w:jc w:val="center"/>
              <w:rPr>
                <w:rFonts w:ascii="Century Gothic" w:hAnsi="Century Gothic" w:cs="Tahoma"/>
              </w:rPr>
            </w:pPr>
          </w:p>
          <w:p w14:paraId="0F7DC2F3"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66ACB0DA"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José Miguel Trujillo de Ita</w:t>
            </w:r>
          </w:p>
          <w:p w14:paraId="0A098D77"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Vocal</w:t>
            </w:r>
          </w:p>
        </w:tc>
        <w:tc>
          <w:tcPr>
            <w:tcW w:w="4489" w:type="dxa"/>
            <w:vAlign w:val="center"/>
          </w:tcPr>
          <w:p w14:paraId="2B84C1C8" w14:textId="77777777" w:rsidR="00A22555" w:rsidRPr="0062338C" w:rsidRDefault="00A22555" w:rsidP="002035DC">
            <w:pPr>
              <w:spacing w:after="0" w:line="240" w:lineRule="auto"/>
              <w:jc w:val="center"/>
              <w:rPr>
                <w:rFonts w:ascii="Century Gothic" w:hAnsi="Century Gothic" w:cs="Tahoma"/>
              </w:rPr>
            </w:pPr>
          </w:p>
          <w:p w14:paraId="1F0AEE4C" w14:textId="77777777" w:rsidR="00A22555" w:rsidRPr="0062338C" w:rsidRDefault="00A22555" w:rsidP="002035DC">
            <w:pPr>
              <w:spacing w:after="0" w:line="240" w:lineRule="auto"/>
              <w:jc w:val="center"/>
              <w:rPr>
                <w:rFonts w:ascii="Century Gothic" w:hAnsi="Century Gothic" w:cs="Tahoma"/>
              </w:rPr>
            </w:pPr>
          </w:p>
          <w:p w14:paraId="0164AEE2" w14:textId="77777777" w:rsidR="00A22555" w:rsidRPr="0062338C" w:rsidRDefault="00A22555" w:rsidP="002035DC">
            <w:pPr>
              <w:spacing w:after="0" w:line="240" w:lineRule="auto"/>
              <w:jc w:val="center"/>
              <w:rPr>
                <w:rFonts w:ascii="Century Gothic" w:hAnsi="Century Gothic" w:cs="Tahoma"/>
              </w:rPr>
            </w:pPr>
          </w:p>
          <w:p w14:paraId="0E95BC57" w14:textId="77777777" w:rsidR="00A22555" w:rsidRPr="0062338C" w:rsidRDefault="00A22555" w:rsidP="002035DC">
            <w:pPr>
              <w:spacing w:after="0" w:line="240" w:lineRule="auto"/>
              <w:jc w:val="center"/>
              <w:rPr>
                <w:rFonts w:ascii="Century Gothic" w:hAnsi="Century Gothic" w:cs="Tahoma"/>
              </w:rPr>
            </w:pPr>
          </w:p>
          <w:p w14:paraId="21671DD7"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0BF083FC"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Javier Casique Zárate</w:t>
            </w:r>
          </w:p>
          <w:p w14:paraId="2503FF3A"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Vocal</w:t>
            </w:r>
          </w:p>
        </w:tc>
      </w:tr>
      <w:tr w:rsidR="00A22555" w:rsidRPr="0062338C" w14:paraId="0199F2BE" w14:textId="77777777" w:rsidTr="002035DC">
        <w:tc>
          <w:tcPr>
            <w:tcW w:w="4489" w:type="dxa"/>
            <w:vAlign w:val="center"/>
          </w:tcPr>
          <w:p w14:paraId="65854C2D" w14:textId="77777777" w:rsidR="00A22555" w:rsidRPr="0062338C" w:rsidRDefault="00A22555" w:rsidP="002035DC">
            <w:pPr>
              <w:spacing w:after="0" w:line="240" w:lineRule="auto"/>
              <w:jc w:val="center"/>
              <w:rPr>
                <w:rFonts w:ascii="Century Gothic" w:hAnsi="Century Gothic" w:cs="Tahoma"/>
              </w:rPr>
            </w:pPr>
          </w:p>
          <w:p w14:paraId="45C851AC" w14:textId="77777777" w:rsidR="00A22555" w:rsidRPr="0062338C" w:rsidRDefault="00A22555" w:rsidP="002035DC">
            <w:pPr>
              <w:spacing w:after="0" w:line="240" w:lineRule="auto"/>
              <w:jc w:val="center"/>
              <w:rPr>
                <w:rFonts w:ascii="Century Gothic" w:hAnsi="Century Gothic" w:cs="Tahoma"/>
              </w:rPr>
            </w:pPr>
          </w:p>
          <w:p w14:paraId="30F20442" w14:textId="77777777" w:rsidR="00A22555" w:rsidRPr="0062338C" w:rsidRDefault="00A22555" w:rsidP="002035DC">
            <w:pPr>
              <w:spacing w:after="0" w:line="240" w:lineRule="auto"/>
              <w:jc w:val="center"/>
              <w:rPr>
                <w:rFonts w:ascii="Century Gothic" w:hAnsi="Century Gothic" w:cs="Tahoma"/>
              </w:rPr>
            </w:pPr>
          </w:p>
          <w:p w14:paraId="4F9A2A79" w14:textId="77777777" w:rsidR="00A22555" w:rsidRPr="0062338C" w:rsidRDefault="00A22555" w:rsidP="002035DC">
            <w:pPr>
              <w:spacing w:after="0" w:line="240" w:lineRule="auto"/>
              <w:jc w:val="center"/>
              <w:rPr>
                <w:rFonts w:ascii="Century Gothic" w:hAnsi="Century Gothic" w:cs="Tahoma"/>
              </w:rPr>
            </w:pPr>
          </w:p>
          <w:p w14:paraId="685C3D45"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________________________________</w:t>
            </w:r>
          </w:p>
          <w:p w14:paraId="35A76DB0"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Gabriel Oswaldo Jiménez López</w:t>
            </w:r>
          </w:p>
          <w:p w14:paraId="7327C8CF" w14:textId="77777777" w:rsidR="00A22555" w:rsidRPr="0062338C" w:rsidRDefault="00A22555" w:rsidP="002035DC">
            <w:pPr>
              <w:spacing w:after="0" w:line="240" w:lineRule="auto"/>
              <w:jc w:val="center"/>
              <w:rPr>
                <w:rFonts w:ascii="Century Gothic" w:hAnsi="Century Gothic" w:cs="Tahoma"/>
              </w:rPr>
            </w:pPr>
            <w:r w:rsidRPr="0062338C">
              <w:rPr>
                <w:rFonts w:ascii="Century Gothic" w:hAnsi="Century Gothic" w:cs="Tahoma"/>
              </w:rPr>
              <w:t>Vocal</w:t>
            </w:r>
          </w:p>
        </w:tc>
        <w:tc>
          <w:tcPr>
            <w:tcW w:w="4489" w:type="dxa"/>
            <w:vAlign w:val="center"/>
          </w:tcPr>
          <w:p w14:paraId="584F9F2A" w14:textId="77777777" w:rsidR="00A22555" w:rsidRPr="0062338C" w:rsidRDefault="00A22555" w:rsidP="002035DC">
            <w:pPr>
              <w:spacing w:after="0" w:line="240" w:lineRule="auto"/>
              <w:jc w:val="center"/>
              <w:rPr>
                <w:rFonts w:ascii="Century Gothic" w:hAnsi="Century Gothic" w:cs="Tahoma"/>
              </w:rPr>
            </w:pPr>
          </w:p>
        </w:tc>
      </w:tr>
    </w:tbl>
    <w:p w14:paraId="63664753" w14:textId="77777777" w:rsidR="009A68CD" w:rsidRDefault="009A68CD" w:rsidP="00853141">
      <w:pPr>
        <w:spacing w:after="0" w:line="264" w:lineRule="auto"/>
        <w:jc w:val="both"/>
        <w:rPr>
          <w:rFonts w:ascii="Century Gothic" w:hAnsi="Century Gothic" w:cstheme="majorHAnsi"/>
          <w:b/>
          <w:sz w:val="14"/>
          <w:szCs w:val="14"/>
        </w:rPr>
      </w:pPr>
    </w:p>
    <w:p w14:paraId="60B6D04D" w14:textId="77777777" w:rsidR="009A68CD" w:rsidRDefault="009A68CD" w:rsidP="00853141">
      <w:pPr>
        <w:spacing w:after="0" w:line="264" w:lineRule="auto"/>
        <w:jc w:val="both"/>
        <w:rPr>
          <w:rFonts w:ascii="Century Gothic" w:hAnsi="Century Gothic" w:cstheme="majorHAnsi"/>
          <w:b/>
          <w:sz w:val="14"/>
          <w:szCs w:val="14"/>
        </w:rPr>
      </w:pPr>
    </w:p>
    <w:p w14:paraId="65CB2879" w14:textId="77777777" w:rsidR="009A68CD" w:rsidRDefault="009A68CD" w:rsidP="00853141">
      <w:pPr>
        <w:spacing w:after="0" w:line="264" w:lineRule="auto"/>
        <w:jc w:val="both"/>
        <w:rPr>
          <w:rFonts w:ascii="Century Gothic" w:hAnsi="Century Gothic" w:cstheme="majorHAnsi"/>
          <w:b/>
          <w:sz w:val="14"/>
          <w:szCs w:val="14"/>
        </w:rPr>
      </w:pPr>
    </w:p>
    <w:p w14:paraId="60621514" w14:textId="77777777" w:rsidR="009A68CD" w:rsidRDefault="009A68CD" w:rsidP="00853141">
      <w:pPr>
        <w:spacing w:after="0" w:line="264" w:lineRule="auto"/>
        <w:jc w:val="both"/>
        <w:rPr>
          <w:rFonts w:ascii="Century Gothic" w:hAnsi="Century Gothic" w:cstheme="majorHAnsi"/>
          <w:b/>
          <w:sz w:val="14"/>
          <w:szCs w:val="14"/>
        </w:rPr>
      </w:pPr>
    </w:p>
    <w:p w14:paraId="2DCF8AD1" w14:textId="77777777" w:rsidR="009A68CD" w:rsidRDefault="009A68CD" w:rsidP="00853141">
      <w:pPr>
        <w:spacing w:after="0" w:line="264" w:lineRule="auto"/>
        <w:jc w:val="both"/>
        <w:rPr>
          <w:rFonts w:ascii="Century Gothic" w:hAnsi="Century Gothic" w:cstheme="majorHAnsi"/>
          <w:b/>
          <w:sz w:val="14"/>
          <w:szCs w:val="14"/>
        </w:rPr>
      </w:pPr>
    </w:p>
    <w:p w14:paraId="0E0D32A5" w14:textId="77777777" w:rsidR="009A68CD" w:rsidRDefault="009A68CD" w:rsidP="00853141">
      <w:pPr>
        <w:spacing w:after="0" w:line="264" w:lineRule="auto"/>
        <w:jc w:val="both"/>
        <w:rPr>
          <w:rFonts w:ascii="Century Gothic" w:hAnsi="Century Gothic" w:cstheme="majorHAnsi"/>
          <w:b/>
          <w:sz w:val="14"/>
          <w:szCs w:val="14"/>
        </w:rPr>
      </w:pPr>
    </w:p>
    <w:p w14:paraId="2B5C98B1" w14:textId="77777777" w:rsidR="009A68CD" w:rsidRDefault="009A68CD" w:rsidP="00853141">
      <w:pPr>
        <w:spacing w:after="0" w:line="264" w:lineRule="auto"/>
        <w:jc w:val="both"/>
        <w:rPr>
          <w:rFonts w:ascii="Century Gothic" w:hAnsi="Century Gothic" w:cstheme="majorHAnsi"/>
          <w:b/>
          <w:sz w:val="14"/>
          <w:szCs w:val="14"/>
        </w:rPr>
      </w:pPr>
    </w:p>
    <w:p w14:paraId="1A5A9359" w14:textId="77777777" w:rsidR="009A68CD" w:rsidRDefault="009A68CD" w:rsidP="00853141">
      <w:pPr>
        <w:spacing w:after="0" w:line="264" w:lineRule="auto"/>
        <w:jc w:val="both"/>
        <w:rPr>
          <w:rFonts w:ascii="Century Gothic" w:hAnsi="Century Gothic" w:cstheme="majorHAnsi"/>
          <w:b/>
          <w:sz w:val="14"/>
          <w:szCs w:val="14"/>
        </w:rPr>
      </w:pPr>
    </w:p>
    <w:p w14:paraId="1FD37707" w14:textId="77777777" w:rsidR="009A68CD" w:rsidRDefault="009A68CD" w:rsidP="00853141">
      <w:pPr>
        <w:spacing w:after="0" w:line="264" w:lineRule="auto"/>
        <w:jc w:val="both"/>
        <w:rPr>
          <w:rFonts w:ascii="Century Gothic" w:hAnsi="Century Gothic" w:cstheme="majorHAnsi"/>
          <w:b/>
          <w:sz w:val="14"/>
          <w:szCs w:val="14"/>
        </w:rPr>
      </w:pPr>
    </w:p>
    <w:p w14:paraId="03496A3E" w14:textId="721322B7" w:rsidR="00853141" w:rsidRPr="009A68CD" w:rsidRDefault="009A68CD" w:rsidP="00853141">
      <w:pPr>
        <w:spacing w:after="0" w:line="264" w:lineRule="auto"/>
        <w:jc w:val="both"/>
        <w:rPr>
          <w:rFonts w:ascii="Century Gothic" w:hAnsi="Century Gothic" w:cstheme="majorHAnsi"/>
          <w:b/>
          <w:sz w:val="14"/>
          <w:szCs w:val="14"/>
        </w:rPr>
      </w:pPr>
      <w:r w:rsidRPr="00853141">
        <w:rPr>
          <w:rFonts w:ascii="Century Gothic" w:hAnsi="Century Gothic" w:cstheme="majorHAnsi"/>
          <w:b/>
          <w:sz w:val="14"/>
          <w:szCs w:val="14"/>
        </w:rPr>
        <w:t>EST</w:t>
      </w:r>
      <w:r>
        <w:rPr>
          <w:rFonts w:ascii="Century Gothic" w:hAnsi="Century Gothic" w:cstheme="majorHAnsi"/>
          <w:b/>
          <w:sz w:val="14"/>
          <w:szCs w:val="14"/>
        </w:rPr>
        <w:t xml:space="preserve">A HOJA DE FIRMAS CORRESPONDE AL ACUERDO POR VIRTUD DEL CUAL SE EXHORTA RESPETUOSA Y ATENTAMENTE A </w:t>
      </w:r>
      <w:r w:rsidRPr="009A68CD">
        <w:rPr>
          <w:rFonts w:ascii="Century Gothic" w:hAnsi="Century Gothic" w:cstheme="majorHAnsi"/>
          <w:b/>
          <w:sz w:val="14"/>
          <w:szCs w:val="14"/>
        </w:rPr>
        <w:t xml:space="preserve">LOS </w:t>
      </w:r>
      <w:r w:rsidR="00157525">
        <w:rPr>
          <w:rFonts w:ascii="Century Gothic" w:hAnsi="Century Gothic" w:cstheme="majorHAnsi"/>
          <w:b/>
          <w:sz w:val="14"/>
          <w:szCs w:val="14"/>
        </w:rPr>
        <w:t>DOSCIENTOS DIECISIETE</w:t>
      </w:r>
      <w:r w:rsidRPr="009A68CD">
        <w:rPr>
          <w:rFonts w:ascii="Century Gothic" w:hAnsi="Century Gothic" w:cstheme="majorHAnsi"/>
          <w:b/>
          <w:sz w:val="14"/>
          <w:szCs w:val="14"/>
        </w:rPr>
        <w:t xml:space="preserve"> AYUNTAMIENTOS DEL ESTADO DE PUEBLA PARA QUE EN EL ÁMBITO DE SUS RESPECTIVAS ATRIBUCIONES SE REALICEN LAS ACTUACIONES PERTINENTES QUE PERMITAN LA CORRECTA APLICACIÓN DE LOS RECURSOS DEL FONDO DE APORTACIONES</w:t>
      </w:r>
      <w:r>
        <w:rPr>
          <w:rFonts w:ascii="Century Gothic" w:hAnsi="Century Gothic" w:cstheme="majorHAnsi"/>
          <w:b/>
          <w:sz w:val="14"/>
          <w:szCs w:val="14"/>
        </w:rPr>
        <w:t xml:space="preserve"> PARA LA INFRAESTRUCTURA SOCIAL</w:t>
      </w:r>
      <w:r w:rsidRPr="009A68CD">
        <w:rPr>
          <w:rFonts w:ascii="Century Gothic" w:hAnsi="Century Gothic" w:cstheme="majorHAnsi"/>
          <w:b/>
          <w:sz w:val="14"/>
          <w:szCs w:val="14"/>
        </w:rPr>
        <w:t xml:space="preserve"> </w:t>
      </w:r>
      <w:r>
        <w:rPr>
          <w:rFonts w:ascii="Century Gothic" w:hAnsi="Century Gothic" w:cstheme="majorHAnsi"/>
          <w:b/>
          <w:sz w:val="14"/>
          <w:szCs w:val="14"/>
        </w:rPr>
        <w:t>Y,</w:t>
      </w:r>
      <w:r w:rsidRPr="009A68CD">
        <w:rPr>
          <w:rFonts w:ascii="Century Gothic" w:hAnsi="Century Gothic" w:cstheme="majorHAnsi"/>
          <w:b/>
          <w:sz w:val="14"/>
          <w:szCs w:val="14"/>
        </w:rPr>
        <w:t xml:space="preserve"> SOBRE TODO </w:t>
      </w:r>
      <w:r>
        <w:rPr>
          <w:rFonts w:ascii="Century Gothic" w:hAnsi="Century Gothic" w:cstheme="majorHAnsi"/>
          <w:b/>
          <w:sz w:val="14"/>
          <w:szCs w:val="14"/>
        </w:rPr>
        <w:t>,</w:t>
      </w:r>
      <w:r w:rsidRPr="009A68CD">
        <w:rPr>
          <w:rFonts w:ascii="Century Gothic" w:hAnsi="Century Gothic" w:cstheme="majorHAnsi"/>
          <w:b/>
          <w:sz w:val="14"/>
          <w:szCs w:val="14"/>
        </w:rPr>
        <w:t>SU DEBIDA COMPROBACIÓN CON EL OBJETO DE EVITAR SANCIONES ADMINISTRATIVAS</w:t>
      </w:r>
      <w:r>
        <w:rPr>
          <w:rFonts w:ascii="Century Gothic" w:hAnsi="Century Gothic" w:cstheme="majorHAnsi"/>
          <w:b/>
          <w:sz w:val="14"/>
          <w:szCs w:val="14"/>
        </w:rPr>
        <w:t>.</w:t>
      </w:r>
    </w:p>
    <w:sectPr w:rsidR="00853141" w:rsidRPr="009A68CD" w:rsidSect="00E17469">
      <w:headerReference w:type="default" r:id="rId9"/>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654E" w14:textId="77777777" w:rsidR="001C57A1" w:rsidRDefault="001C57A1" w:rsidP="009B19B9">
      <w:pPr>
        <w:spacing w:after="0" w:line="240" w:lineRule="auto"/>
      </w:pPr>
      <w:r>
        <w:separator/>
      </w:r>
    </w:p>
  </w:endnote>
  <w:endnote w:type="continuationSeparator" w:id="0">
    <w:p w14:paraId="31CD8E14" w14:textId="77777777" w:rsidR="001C57A1" w:rsidRDefault="001C57A1" w:rsidP="009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6AC7" w14:textId="77777777" w:rsidR="001C57A1" w:rsidRDefault="001C57A1" w:rsidP="009B19B9">
      <w:pPr>
        <w:spacing w:after="0" w:line="240" w:lineRule="auto"/>
      </w:pPr>
      <w:r>
        <w:separator/>
      </w:r>
    </w:p>
  </w:footnote>
  <w:footnote w:type="continuationSeparator" w:id="0">
    <w:p w14:paraId="03ADBE16" w14:textId="77777777" w:rsidR="001C57A1" w:rsidRDefault="001C57A1" w:rsidP="009B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B5DB" w14:textId="77777777" w:rsidR="001C57A1" w:rsidRDefault="001C57A1">
    <w:pPr>
      <w:pStyle w:val="Encabezado"/>
    </w:pPr>
  </w:p>
  <w:p w14:paraId="099B403B" w14:textId="334B4033" w:rsidR="001C57A1" w:rsidRDefault="001C57A1">
    <w:pPr>
      <w:pStyle w:val="Encabezado"/>
    </w:pPr>
    <w:r>
      <w:rPr>
        <w:noProof/>
        <w:lang w:eastAsia="es-MX"/>
      </w:rPr>
      <w:drawing>
        <wp:anchor distT="0" distB="0" distL="114300" distR="114300" simplePos="0" relativeHeight="251659264" behindDoc="0" locked="0" layoutInCell="1" allowOverlap="1" wp14:anchorId="0D34E7F4" wp14:editId="663DDF4D">
          <wp:simplePos x="0" y="0"/>
          <wp:positionH relativeFrom="margin">
            <wp:posOffset>-533400</wp:posOffset>
          </wp:positionH>
          <wp:positionV relativeFrom="paragraph">
            <wp:posOffset>251663</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p w14:paraId="2A432CA1" w14:textId="70EC4620" w:rsidR="001C57A1" w:rsidRDefault="001C57A1" w:rsidP="00132719">
    <w:pPr>
      <w:pStyle w:val="Encabezado"/>
    </w:pPr>
    <w:r>
      <w:t xml:space="preserve">                                                    </w:t>
    </w:r>
  </w:p>
  <w:p w14:paraId="6E13DFC5" w14:textId="29D98CA8" w:rsidR="001C57A1" w:rsidRDefault="001C57A1" w:rsidP="00132719">
    <w:pPr>
      <w:pStyle w:val="Encabezado"/>
    </w:pPr>
  </w:p>
  <w:p w14:paraId="0B7C8D1E" w14:textId="63FB35A6" w:rsidR="001C57A1" w:rsidRDefault="001C57A1" w:rsidP="00132719">
    <w:pPr>
      <w:pStyle w:val="Encabezado"/>
    </w:pPr>
  </w:p>
  <w:p w14:paraId="23FBD2F7" w14:textId="1121364D" w:rsidR="001C57A1" w:rsidRDefault="001C57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C5"/>
    <w:multiLevelType w:val="hybridMultilevel"/>
    <w:tmpl w:val="7E10D362"/>
    <w:lvl w:ilvl="0" w:tplc="F46456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B0E5B"/>
    <w:multiLevelType w:val="hybridMultilevel"/>
    <w:tmpl w:val="B6D0CECC"/>
    <w:lvl w:ilvl="0" w:tplc="288C03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74E2A"/>
    <w:multiLevelType w:val="hybridMultilevel"/>
    <w:tmpl w:val="B0483C6C"/>
    <w:lvl w:ilvl="0" w:tplc="6BAC077C">
      <w:start w:val="1"/>
      <w:numFmt w:val="decimal"/>
      <w:lvlText w:val="%1."/>
      <w:lvlJc w:val="lef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D61DF5"/>
    <w:multiLevelType w:val="hybridMultilevel"/>
    <w:tmpl w:val="CA8634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65040E"/>
    <w:multiLevelType w:val="hybridMultilevel"/>
    <w:tmpl w:val="CA8634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D14497"/>
    <w:multiLevelType w:val="hybridMultilevel"/>
    <w:tmpl w:val="239EC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403459"/>
    <w:multiLevelType w:val="hybridMultilevel"/>
    <w:tmpl w:val="D36A0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0DF60EE"/>
    <w:multiLevelType w:val="hybridMultilevel"/>
    <w:tmpl w:val="CF2EC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3"/>
  </w:num>
  <w:num w:numId="6">
    <w:abstractNumId w:val="1"/>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23947"/>
    <w:rsid w:val="00026A65"/>
    <w:rsid w:val="0004322E"/>
    <w:rsid w:val="00051AFA"/>
    <w:rsid w:val="000F00AD"/>
    <w:rsid w:val="00130641"/>
    <w:rsid w:val="00132719"/>
    <w:rsid w:val="001554E3"/>
    <w:rsid w:val="00157525"/>
    <w:rsid w:val="001967DA"/>
    <w:rsid w:val="001A37F0"/>
    <w:rsid w:val="001B304F"/>
    <w:rsid w:val="001C25F3"/>
    <w:rsid w:val="001C57A1"/>
    <w:rsid w:val="001D5832"/>
    <w:rsid w:val="002035DC"/>
    <w:rsid w:val="002228F2"/>
    <w:rsid w:val="002265D2"/>
    <w:rsid w:val="00232ED6"/>
    <w:rsid w:val="002515B3"/>
    <w:rsid w:val="00273450"/>
    <w:rsid w:val="002C6602"/>
    <w:rsid w:val="0030499E"/>
    <w:rsid w:val="00306C4F"/>
    <w:rsid w:val="003117BE"/>
    <w:rsid w:val="00356C07"/>
    <w:rsid w:val="003656D2"/>
    <w:rsid w:val="00376CD8"/>
    <w:rsid w:val="003A1691"/>
    <w:rsid w:val="003A50A9"/>
    <w:rsid w:val="003A7B41"/>
    <w:rsid w:val="003B2979"/>
    <w:rsid w:val="003B41A5"/>
    <w:rsid w:val="003C47B8"/>
    <w:rsid w:val="003E5941"/>
    <w:rsid w:val="00402783"/>
    <w:rsid w:val="00411470"/>
    <w:rsid w:val="004250B9"/>
    <w:rsid w:val="004878F1"/>
    <w:rsid w:val="00490A52"/>
    <w:rsid w:val="004C0E7D"/>
    <w:rsid w:val="004C283B"/>
    <w:rsid w:val="004E652D"/>
    <w:rsid w:val="004F322F"/>
    <w:rsid w:val="00537182"/>
    <w:rsid w:val="00550E7D"/>
    <w:rsid w:val="00552974"/>
    <w:rsid w:val="0056047B"/>
    <w:rsid w:val="005609F5"/>
    <w:rsid w:val="00585663"/>
    <w:rsid w:val="005B7278"/>
    <w:rsid w:val="005C5FDC"/>
    <w:rsid w:val="005E01EF"/>
    <w:rsid w:val="005E60D1"/>
    <w:rsid w:val="005F3230"/>
    <w:rsid w:val="00602841"/>
    <w:rsid w:val="006033C8"/>
    <w:rsid w:val="00613212"/>
    <w:rsid w:val="00622D0D"/>
    <w:rsid w:val="0062338C"/>
    <w:rsid w:val="006243FC"/>
    <w:rsid w:val="00634DED"/>
    <w:rsid w:val="00642415"/>
    <w:rsid w:val="0065718F"/>
    <w:rsid w:val="00695100"/>
    <w:rsid w:val="0069521F"/>
    <w:rsid w:val="006A20DC"/>
    <w:rsid w:val="006A2333"/>
    <w:rsid w:val="00716BCD"/>
    <w:rsid w:val="00720B15"/>
    <w:rsid w:val="00726D12"/>
    <w:rsid w:val="0073375A"/>
    <w:rsid w:val="00770B08"/>
    <w:rsid w:val="00790668"/>
    <w:rsid w:val="00791C8D"/>
    <w:rsid w:val="007A2736"/>
    <w:rsid w:val="007C4C0C"/>
    <w:rsid w:val="007C5EEE"/>
    <w:rsid w:val="007E03C8"/>
    <w:rsid w:val="00813AAF"/>
    <w:rsid w:val="00816BEE"/>
    <w:rsid w:val="0082440A"/>
    <w:rsid w:val="00851588"/>
    <w:rsid w:val="00852E5D"/>
    <w:rsid w:val="00853141"/>
    <w:rsid w:val="00880E80"/>
    <w:rsid w:val="00890026"/>
    <w:rsid w:val="008D4A55"/>
    <w:rsid w:val="008E4908"/>
    <w:rsid w:val="008F40BF"/>
    <w:rsid w:val="00905805"/>
    <w:rsid w:val="00954AA0"/>
    <w:rsid w:val="00956490"/>
    <w:rsid w:val="009A68CD"/>
    <w:rsid w:val="009B19B9"/>
    <w:rsid w:val="009C3F4B"/>
    <w:rsid w:val="009F0E26"/>
    <w:rsid w:val="009F105C"/>
    <w:rsid w:val="00A22555"/>
    <w:rsid w:val="00A251F2"/>
    <w:rsid w:val="00A72D46"/>
    <w:rsid w:val="00A80030"/>
    <w:rsid w:val="00A8023B"/>
    <w:rsid w:val="00AA620B"/>
    <w:rsid w:val="00AB6D3C"/>
    <w:rsid w:val="00AB7BC0"/>
    <w:rsid w:val="00AC4715"/>
    <w:rsid w:val="00B5740E"/>
    <w:rsid w:val="00B80282"/>
    <w:rsid w:val="00B84AB0"/>
    <w:rsid w:val="00B861DC"/>
    <w:rsid w:val="00B92784"/>
    <w:rsid w:val="00BC644B"/>
    <w:rsid w:val="00C01580"/>
    <w:rsid w:val="00C07D7F"/>
    <w:rsid w:val="00C20F83"/>
    <w:rsid w:val="00C51B9F"/>
    <w:rsid w:val="00C613F9"/>
    <w:rsid w:val="00C95DD1"/>
    <w:rsid w:val="00CE3F12"/>
    <w:rsid w:val="00D1792D"/>
    <w:rsid w:val="00D60218"/>
    <w:rsid w:val="00D65969"/>
    <w:rsid w:val="00D6786A"/>
    <w:rsid w:val="00D732A5"/>
    <w:rsid w:val="00DB0C69"/>
    <w:rsid w:val="00DB16E6"/>
    <w:rsid w:val="00DE12F3"/>
    <w:rsid w:val="00DE3BB4"/>
    <w:rsid w:val="00E050FA"/>
    <w:rsid w:val="00E14C2C"/>
    <w:rsid w:val="00E17469"/>
    <w:rsid w:val="00E4051B"/>
    <w:rsid w:val="00E47910"/>
    <w:rsid w:val="00E539FC"/>
    <w:rsid w:val="00E6290D"/>
    <w:rsid w:val="00E6397E"/>
    <w:rsid w:val="00E751E3"/>
    <w:rsid w:val="00E83770"/>
    <w:rsid w:val="00EB7A7A"/>
    <w:rsid w:val="00EE4665"/>
    <w:rsid w:val="00EE73CE"/>
    <w:rsid w:val="00F00EA2"/>
    <w:rsid w:val="00F0323A"/>
    <w:rsid w:val="00F07626"/>
    <w:rsid w:val="00F14A40"/>
    <w:rsid w:val="00F428CC"/>
    <w:rsid w:val="00F61681"/>
    <w:rsid w:val="00F6190A"/>
    <w:rsid w:val="00F703E8"/>
    <w:rsid w:val="00F830A8"/>
    <w:rsid w:val="00F83955"/>
    <w:rsid w:val="00FD0DA3"/>
    <w:rsid w:val="00FD1B7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7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pPr>
      <w:spacing w:after="200" w:line="276" w:lineRule="auto"/>
      <w:ind w:right="0"/>
      <w:jc w:val="left"/>
    </w:p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val="es-ES"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independiente">
    <w:name w:val="Body Text"/>
    <w:basedOn w:val="Normal"/>
    <w:link w:val="TextoindependienteCar"/>
    <w:rsid w:val="00DE12F3"/>
    <w:pPr>
      <w:spacing w:after="0" w:line="240" w:lineRule="auto"/>
      <w:jc w:val="both"/>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rsid w:val="00DE12F3"/>
    <w:rPr>
      <w:rFonts w:ascii="Tahoma" w:eastAsia="Times New Roman" w:hAnsi="Tahoma" w:cs="Times New Roman"/>
      <w:sz w:val="24"/>
      <w:szCs w:val="20"/>
      <w:lang w:eastAsia="es-ES"/>
    </w:rPr>
  </w:style>
  <w:style w:type="table" w:styleId="Tablaconcuadrcula">
    <w:name w:val="Table Grid"/>
    <w:basedOn w:val="Tablanormal"/>
    <w:uiPriority w:val="59"/>
    <w:rsid w:val="00816B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620B"/>
    <w:rPr>
      <w:sz w:val="16"/>
      <w:szCs w:val="16"/>
    </w:rPr>
  </w:style>
  <w:style w:type="paragraph" w:styleId="Textocomentario">
    <w:name w:val="annotation text"/>
    <w:basedOn w:val="Normal"/>
    <w:link w:val="TextocomentarioCar"/>
    <w:uiPriority w:val="99"/>
    <w:semiHidden/>
    <w:unhideWhenUsed/>
    <w:rsid w:val="00AA6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20B"/>
    <w:rPr>
      <w:sz w:val="20"/>
      <w:szCs w:val="20"/>
    </w:rPr>
  </w:style>
  <w:style w:type="paragraph" w:styleId="Asuntodelcomentario">
    <w:name w:val="annotation subject"/>
    <w:basedOn w:val="Textocomentario"/>
    <w:next w:val="Textocomentario"/>
    <w:link w:val="AsuntodelcomentarioCar"/>
    <w:uiPriority w:val="99"/>
    <w:semiHidden/>
    <w:unhideWhenUsed/>
    <w:rsid w:val="00AA620B"/>
    <w:rPr>
      <w:b/>
      <w:bCs/>
    </w:rPr>
  </w:style>
  <w:style w:type="character" w:customStyle="1" w:styleId="AsuntodelcomentarioCar">
    <w:name w:val="Asunto del comentario Car"/>
    <w:basedOn w:val="TextocomentarioCar"/>
    <w:link w:val="Asuntodelcomentario"/>
    <w:uiPriority w:val="99"/>
    <w:semiHidden/>
    <w:rsid w:val="00AA620B"/>
    <w:rPr>
      <w:b/>
      <w:bCs/>
      <w:sz w:val="20"/>
      <w:szCs w:val="20"/>
    </w:rPr>
  </w:style>
  <w:style w:type="character" w:customStyle="1" w:styleId="catitemextrafieldsvalue">
    <w:name w:val="catitemextrafieldsvalue"/>
    <w:basedOn w:val="Fuentedeprrafopredeter"/>
    <w:rsid w:val="009F0E26"/>
  </w:style>
  <w:style w:type="paragraph" w:styleId="Sinespaciado">
    <w:name w:val="No Spacing"/>
    <w:uiPriority w:val="1"/>
    <w:qFormat/>
    <w:rsid w:val="00EB7A7A"/>
    <w:pPr>
      <w:spacing w:line="240" w:lineRule="auto"/>
      <w:ind w:right="0"/>
      <w:jc w:val="left"/>
    </w:pPr>
    <w:rPr>
      <w:lang w:val="es-ES"/>
    </w:rPr>
  </w:style>
  <w:style w:type="paragraph" w:styleId="Textonotapie">
    <w:name w:val="footnote text"/>
    <w:basedOn w:val="Normal"/>
    <w:link w:val="TextonotapieCar"/>
    <w:uiPriority w:val="99"/>
    <w:unhideWhenUsed/>
    <w:rsid w:val="00023947"/>
    <w:pPr>
      <w:spacing w:after="0" w:line="240" w:lineRule="auto"/>
    </w:pPr>
    <w:rPr>
      <w:sz w:val="24"/>
      <w:szCs w:val="24"/>
    </w:rPr>
  </w:style>
  <w:style w:type="character" w:customStyle="1" w:styleId="TextonotapieCar">
    <w:name w:val="Texto nota pie Car"/>
    <w:basedOn w:val="Fuentedeprrafopredeter"/>
    <w:link w:val="Textonotapie"/>
    <w:uiPriority w:val="99"/>
    <w:rsid w:val="00023947"/>
    <w:rPr>
      <w:sz w:val="24"/>
      <w:szCs w:val="24"/>
    </w:rPr>
  </w:style>
  <w:style w:type="character" w:styleId="Refdenotaalpie">
    <w:name w:val="footnote reference"/>
    <w:basedOn w:val="Fuentedeprrafopredeter"/>
    <w:uiPriority w:val="99"/>
    <w:unhideWhenUsed/>
    <w:rsid w:val="000239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pPr>
      <w:spacing w:after="200" w:line="276" w:lineRule="auto"/>
      <w:ind w:right="0"/>
      <w:jc w:val="left"/>
    </w:p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val="es-ES"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independiente">
    <w:name w:val="Body Text"/>
    <w:basedOn w:val="Normal"/>
    <w:link w:val="TextoindependienteCar"/>
    <w:rsid w:val="00DE12F3"/>
    <w:pPr>
      <w:spacing w:after="0" w:line="240" w:lineRule="auto"/>
      <w:jc w:val="both"/>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rsid w:val="00DE12F3"/>
    <w:rPr>
      <w:rFonts w:ascii="Tahoma" w:eastAsia="Times New Roman" w:hAnsi="Tahoma" w:cs="Times New Roman"/>
      <w:sz w:val="24"/>
      <w:szCs w:val="20"/>
      <w:lang w:eastAsia="es-ES"/>
    </w:rPr>
  </w:style>
  <w:style w:type="table" w:styleId="Tablaconcuadrcula">
    <w:name w:val="Table Grid"/>
    <w:basedOn w:val="Tablanormal"/>
    <w:uiPriority w:val="59"/>
    <w:rsid w:val="00816B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620B"/>
    <w:rPr>
      <w:sz w:val="16"/>
      <w:szCs w:val="16"/>
    </w:rPr>
  </w:style>
  <w:style w:type="paragraph" w:styleId="Textocomentario">
    <w:name w:val="annotation text"/>
    <w:basedOn w:val="Normal"/>
    <w:link w:val="TextocomentarioCar"/>
    <w:uiPriority w:val="99"/>
    <w:semiHidden/>
    <w:unhideWhenUsed/>
    <w:rsid w:val="00AA6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20B"/>
    <w:rPr>
      <w:sz w:val="20"/>
      <w:szCs w:val="20"/>
    </w:rPr>
  </w:style>
  <w:style w:type="paragraph" w:styleId="Asuntodelcomentario">
    <w:name w:val="annotation subject"/>
    <w:basedOn w:val="Textocomentario"/>
    <w:next w:val="Textocomentario"/>
    <w:link w:val="AsuntodelcomentarioCar"/>
    <w:uiPriority w:val="99"/>
    <w:semiHidden/>
    <w:unhideWhenUsed/>
    <w:rsid w:val="00AA620B"/>
    <w:rPr>
      <w:b/>
      <w:bCs/>
    </w:rPr>
  </w:style>
  <w:style w:type="character" w:customStyle="1" w:styleId="AsuntodelcomentarioCar">
    <w:name w:val="Asunto del comentario Car"/>
    <w:basedOn w:val="TextocomentarioCar"/>
    <w:link w:val="Asuntodelcomentario"/>
    <w:uiPriority w:val="99"/>
    <w:semiHidden/>
    <w:rsid w:val="00AA620B"/>
    <w:rPr>
      <w:b/>
      <w:bCs/>
      <w:sz w:val="20"/>
      <w:szCs w:val="20"/>
    </w:rPr>
  </w:style>
  <w:style w:type="character" w:customStyle="1" w:styleId="catitemextrafieldsvalue">
    <w:name w:val="catitemextrafieldsvalue"/>
    <w:basedOn w:val="Fuentedeprrafopredeter"/>
    <w:rsid w:val="009F0E26"/>
  </w:style>
  <w:style w:type="paragraph" w:styleId="Sinespaciado">
    <w:name w:val="No Spacing"/>
    <w:uiPriority w:val="1"/>
    <w:qFormat/>
    <w:rsid w:val="00EB7A7A"/>
    <w:pPr>
      <w:spacing w:line="240" w:lineRule="auto"/>
      <w:ind w:right="0"/>
      <w:jc w:val="left"/>
    </w:pPr>
    <w:rPr>
      <w:lang w:val="es-ES"/>
    </w:rPr>
  </w:style>
  <w:style w:type="paragraph" w:styleId="Textonotapie">
    <w:name w:val="footnote text"/>
    <w:basedOn w:val="Normal"/>
    <w:link w:val="TextonotapieCar"/>
    <w:uiPriority w:val="99"/>
    <w:unhideWhenUsed/>
    <w:rsid w:val="00023947"/>
    <w:pPr>
      <w:spacing w:after="0" w:line="240" w:lineRule="auto"/>
    </w:pPr>
    <w:rPr>
      <w:sz w:val="24"/>
      <w:szCs w:val="24"/>
    </w:rPr>
  </w:style>
  <w:style w:type="character" w:customStyle="1" w:styleId="TextonotapieCar">
    <w:name w:val="Texto nota pie Car"/>
    <w:basedOn w:val="Fuentedeprrafopredeter"/>
    <w:link w:val="Textonotapie"/>
    <w:uiPriority w:val="99"/>
    <w:rsid w:val="00023947"/>
    <w:rPr>
      <w:sz w:val="24"/>
      <w:szCs w:val="24"/>
    </w:rPr>
  </w:style>
  <w:style w:type="character" w:styleId="Refdenotaalpie">
    <w:name w:val="footnote reference"/>
    <w:basedOn w:val="Fuentedeprrafopredeter"/>
    <w:uiPriority w:val="99"/>
    <w:unhideWhenUsed/>
    <w:rsid w:val="00023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F390-4E21-4DD9-9CDC-67286454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1</TotalTime>
  <Pages>5</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3</cp:revision>
  <cp:lastPrinted>2019-10-28T18:31:00Z</cp:lastPrinted>
  <dcterms:created xsi:type="dcterms:W3CDTF">2020-06-29T20:06:00Z</dcterms:created>
  <dcterms:modified xsi:type="dcterms:W3CDTF">2020-06-29T20:06:00Z</dcterms:modified>
</cp:coreProperties>
</file>