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5B63" w14:textId="77777777" w:rsidR="0036580D" w:rsidRDefault="0036580D">
      <w:pPr>
        <w:pStyle w:val="Textoindependiente"/>
        <w:spacing w:before="7"/>
        <w:rPr>
          <w:rFonts w:ascii="Times New Roman"/>
          <w:i w:val="0"/>
          <w:sz w:val="19"/>
        </w:rPr>
      </w:pPr>
    </w:p>
    <w:p w14:paraId="0F859EBD" w14:textId="77777777" w:rsidR="0036580D" w:rsidRDefault="00460739">
      <w:pPr>
        <w:pStyle w:val="Ttulo1"/>
        <w:spacing w:before="100" w:line="276" w:lineRule="auto"/>
        <w:ind w:right="1747"/>
        <w:jc w:val="left"/>
        <w:rPr>
          <w:b/>
        </w:rPr>
      </w:pPr>
      <w:r>
        <w:rPr>
          <w:b/>
        </w:rPr>
        <w:t>C.C. DIPUTADOS INTEGRANTES DE LA MESA DIRECTIVA DE LA LX LEGISLATURA</w:t>
      </w:r>
    </w:p>
    <w:p w14:paraId="14276DDD" w14:textId="77777777" w:rsidR="0036580D" w:rsidRDefault="00460739">
      <w:pPr>
        <w:spacing w:line="276" w:lineRule="auto"/>
        <w:ind w:left="242" w:right="1939"/>
        <w:rPr>
          <w:b/>
          <w:sz w:val="24"/>
        </w:rPr>
      </w:pPr>
      <w:r>
        <w:rPr>
          <w:b/>
          <w:sz w:val="24"/>
        </w:rPr>
        <w:t>DEL HONORABLE CONGRESO DEL ESTADO DE PUEBLA P R E S E N T E S.</w:t>
      </w:r>
    </w:p>
    <w:p w14:paraId="47AE6969" w14:textId="77777777" w:rsidR="0036580D" w:rsidRDefault="0036580D">
      <w:pPr>
        <w:pStyle w:val="Textoindependiente"/>
        <w:spacing w:before="7"/>
        <w:rPr>
          <w:b/>
          <w:i w:val="0"/>
          <w:sz w:val="27"/>
        </w:rPr>
      </w:pPr>
    </w:p>
    <w:p w14:paraId="090ECED8" w14:textId="77777777" w:rsidR="0036580D" w:rsidRDefault="00460739">
      <w:pPr>
        <w:spacing w:line="276" w:lineRule="auto"/>
        <w:ind w:left="242" w:right="117"/>
        <w:jc w:val="both"/>
        <w:rPr>
          <w:b/>
          <w:sz w:val="24"/>
        </w:rPr>
      </w:pPr>
      <w:r>
        <w:rPr>
          <w:sz w:val="24"/>
        </w:rPr>
        <w:t xml:space="preserve">Quien suscribe, </w:t>
      </w:r>
      <w:r>
        <w:rPr>
          <w:b/>
          <w:sz w:val="24"/>
        </w:rPr>
        <w:t>DIPUTADO GABRIEL OSWALDO JIMÉNEZ LÓPEZ, INTEGRANTE DEL GRUPO LEGISLATIVO DEL PARTIDO ACCIÓN</w:t>
      </w:r>
    </w:p>
    <w:p w14:paraId="1821E4F3" w14:textId="77777777" w:rsidR="0036580D" w:rsidRDefault="00460739">
      <w:pPr>
        <w:spacing w:before="1" w:line="276" w:lineRule="auto"/>
        <w:ind w:left="242" w:right="118"/>
        <w:jc w:val="both"/>
        <w:rPr>
          <w:sz w:val="24"/>
        </w:rPr>
      </w:pPr>
      <w:r>
        <w:rPr>
          <w:b/>
          <w:sz w:val="24"/>
        </w:rPr>
        <w:t>NACIONAL DE LA LX LEGISLATURA</w:t>
      </w:r>
      <w:r>
        <w:rPr>
          <w:sz w:val="24"/>
        </w:rPr>
        <w:t xml:space="preserve">, con fundamento en lo dispuesto por los artículos 44 fracción II de la Ley Orgánica del Poder Legislativo del Estado Libre y Soberano </w:t>
      </w:r>
      <w:r>
        <w:rPr>
          <w:sz w:val="24"/>
        </w:rPr>
        <w:t>de Puebla y 120 fracción VI del Reglamento Interior de Honorable Congreso del Estado, someto a la consideración de esta Soberanía el presente Acuerdo bajo el</w:t>
      </w:r>
      <w:r>
        <w:rPr>
          <w:spacing w:val="-8"/>
          <w:sz w:val="24"/>
        </w:rPr>
        <w:t xml:space="preserve"> </w:t>
      </w:r>
      <w:r>
        <w:rPr>
          <w:sz w:val="24"/>
        </w:rPr>
        <w:t>siguiente:</w:t>
      </w:r>
    </w:p>
    <w:p w14:paraId="675905C2" w14:textId="77777777" w:rsidR="0036580D" w:rsidRDefault="0036580D">
      <w:pPr>
        <w:pStyle w:val="Textoindependiente"/>
        <w:spacing w:before="7"/>
        <w:rPr>
          <w:i w:val="0"/>
          <w:sz w:val="27"/>
        </w:rPr>
      </w:pPr>
    </w:p>
    <w:p w14:paraId="5D3EC841" w14:textId="77777777" w:rsidR="0036580D" w:rsidRDefault="00460739">
      <w:pPr>
        <w:ind w:left="1473" w:right="1351"/>
        <w:jc w:val="center"/>
        <w:rPr>
          <w:b/>
          <w:sz w:val="24"/>
        </w:rPr>
      </w:pPr>
      <w:r>
        <w:rPr>
          <w:b/>
          <w:sz w:val="24"/>
        </w:rPr>
        <w:t>CONSIDERANDO</w:t>
      </w:r>
    </w:p>
    <w:p w14:paraId="4C954B37" w14:textId="77777777" w:rsidR="0036580D" w:rsidRDefault="0036580D">
      <w:pPr>
        <w:pStyle w:val="Textoindependiente"/>
        <w:spacing w:before="5"/>
        <w:rPr>
          <w:b/>
          <w:i w:val="0"/>
          <w:sz w:val="31"/>
        </w:rPr>
      </w:pPr>
    </w:p>
    <w:p w14:paraId="16736283" w14:textId="77777777" w:rsidR="0036580D" w:rsidRDefault="00460739">
      <w:pPr>
        <w:spacing w:line="276" w:lineRule="auto"/>
        <w:ind w:left="242" w:right="116"/>
        <w:jc w:val="both"/>
        <w:rPr>
          <w:sz w:val="24"/>
        </w:rPr>
      </w:pPr>
      <w:r>
        <w:rPr>
          <w:b/>
          <w:sz w:val="24"/>
        </w:rPr>
        <w:t xml:space="preserve">I.- </w:t>
      </w:r>
      <w:proofErr w:type="gramStart"/>
      <w:r>
        <w:rPr>
          <w:sz w:val="24"/>
        </w:rPr>
        <w:t>De acuerdo al</w:t>
      </w:r>
      <w:proofErr w:type="gram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ParlAmericas</w:t>
      </w:r>
      <w:proofErr w:type="spellEnd"/>
      <w:r>
        <w:rPr>
          <w:sz w:val="24"/>
        </w:rPr>
        <w:t xml:space="preserve">, el </w:t>
      </w:r>
      <w:r>
        <w:rPr>
          <w:b/>
          <w:sz w:val="24"/>
        </w:rPr>
        <w:t xml:space="preserve">Parlamento Abierto </w:t>
      </w:r>
      <w:r>
        <w:rPr>
          <w:sz w:val="24"/>
        </w:rPr>
        <w:t xml:space="preserve">es </w:t>
      </w:r>
      <w:r>
        <w:rPr>
          <w:i/>
          <w:sz w:val="24"/>
        </w:rPr>
        <w:t>una nueva forma</w:t>
      </w:r>
      <w:r>
        <w:rPr>
          <w:i/>
          <w:sz w:val="24"/>
        </w:rPr>
        <w:t xml:space="preserve"> de interacción entre la ciudadanía y los Poderes Legislativos que fomenta la apertura y transparencia de los Parlamentos, con el fin de garantizar el acceso a la información pública, la rendición de cuentas, </w:t>
      </w:r>
      <w:r>
        <w:rPr>
          <w:b/>
          <w:i/>
          <w:sz w:val="24"/>
        </w:rPr>
        <w:t xml:space="preserve">la participación ciudadana </w:t>
      </w:r>
      <w:r>
        <w:rPr>
          <w:i/>
          <w:sz w:val="24"/>
        </w:rPr>
        <w:t>y altos estándares d</w:t>
      </w:r>
      <w:r>
        <w:rPr>
          <w:i/>
          <w:sz w:val="24"/>
        </w:rPr>
        <w:t>e ética y probidad en la labor parlamentaria</w:t>
      </w:r>
      <w:r>
        <w:rPr>
          <w:sz w:val="24"/>
        </w:rPr>
        <w:t>.</w:t>
      </w:r>
    </w:p>
    <w:p w14:paraId="6396F3C9" w14:textId="77777777" w:rsidR="0036580D" w:rsidRDefault="0036580D">
      <w:pPr>
        <w:pStyle w:val="Textoindependiente"/>
        <w:spacing w:before="4"/>
        <w:rPr>
          <w:i w:val="0"/>
          <w:sz w:val="27"/>
        </w:rPr>
      </w:pPr>
    </w:p>
    <w:p w14:paraId="311348B4" w14:textId="77777777" w:rsidR="0036580D" w:rsidRDefault="00460739">
      <w:pPr>
        <w:spacing w:line="276" w:lineRule="auto"/>
        <w:ind w:left="242" w:right="117"/>
        <w:jc w:val="both"/>
        <w:rPr>
          <w:b/>
          <w:sz w:val="24"/>
        </w:rPr>
      </w:pPr>
      <w:proofErr w:type="spellStart"/>
      <w:r>
        <w:rPr>
          <w:sz w:val="24"/>
        </w:rPr>
        <w:t>Asi</w:t>
      </w:r>
      <w:proofErr w:type="spellEnd"/>
      <w:r>
        <w:rPr>
          <w:sz w:val="24"/>
        </w:rPr>
        <w:t xml:space="preserve"> como la Comisión Económica para América Latina y el Caribe (CEPAL) refiere que el </w:t>
      </w:r>
      <w:r>
        <w:rPr>
          <w:b/>
          <w:sz w:val="24"/>
        </w:rPr>
        <w:t>Parlamento Abierto:</w:t>
      </w:r>
    </w:p>
    <w:p w14:paraId="4BD8DD55" w14:textId="77777777" w:rsidR="0036580D" w:rsidRDefault="0036580D">
      <w:pPr>
        <w:pStyle w:val="Textoindependiente"/>
        <w:spacing w:before="9"/>
        <w:rPr>
          <w:b/>
          <w:i w:val="0"/>
          <w:sz w:val="27"/>
        </w:rPr>
      </w:pPr>
    </w:p>
    <w:p w14:paraId="59AFEBB5" w14:textId="77777777" w:rsidR="0036580D" w:rsidRDefault="00460739">
      <w:pPr>
        <w:pStyle w:val="Prrafodelista"/>
        <w:numPr>
          <w:ilvl w:val="1"/>
          <w:numId w:val="2"/>
        </w:numPr>
        <w:tabs>
          <w:tab w:val="left" w:pos="1039"/>
        </w:tabs>
        <w:spacing w:before="1" w:line="276" w:lineRule="auto"/>
        <w:ind w:left="961" w:hanging="360"/>
        <w:jc w:val="both"/>
        <w:rPr>
          <w:i/>
          <w:sz w:val="24"/>
        </w:rPr>
      </w:pPr>
      <w:r>
        <w:tab/>
      </w:r>
      <w:r>
        <w:rPr>
          <w:sz w:val="24"/>
        </w:rPr>
        <w:t xml:space="preserve">Da </w:t>
      </w:r>
      <w:r>
        <w:rPr>
          <w:i/>
          <w:sz w:val="24"/>
        </w:rPr>
        <w:t>máxima publicidad y acceso a la información parlamentaria y legislativa; publica información en fo</w:t>
      </w:r>
      <w:r>
        <w:rPr>
          <w:i/>
          <w:sz w:val="24"/>
        </w:rPr>
        <w:t xml:space="preserve">rmatos sencillos y cuenta con mecanismos de búsqueda simple; publica el análisis, deliberación y votación de los trabajos en comisiones y sesiones plenarias; cuenta con mecanismos y herramientas para un monitoreo y control ciudadano eficaz; </w:t>
      </w:r>
      <w:r>
        <w:rPr>
          <w:b/>
          <w:i/>
          <w:sz w:val="24"/>
        </w:rPr>
        <w:t>asegura una par</w:t>
      </w:r>
      <w:r>
        <w:rPr>
          <w:b/>
          <w:i/>
          <w:sz w:val="24"/>
        </w:rPr>
        <w:t xml:space="preserve">ticipación ciudadana inclusiva en los proyectos legislativos; </w:t>
      </w:r>
      <w:r>
        <w:rPr>
          <w:i/>
          <w:sz w:val="24"/>
        </w:rPr>
        <w:t>da preferencia a la utilización de formatos en datos abiertos, software libre y código abierto; promueve la legislación a favor de políticas de Gobierno Abierto.</w:t>
      </w:r>
    </w:p>
    <w:p w14:paraId="4CF252D3" w14:textId="77777777" w:rsidR="0036580D" w:rsidRDefault="0036580D">
      <w:pPr>
        <w:spacing w:line="276" w:lineRule="auto"/>
        <w:jc w:val="both"/>
        <w:rPr>
          <w:sz w:val="24"/>
        </w:rPr>
        <w:sectPr w:rsidR="0036580D">
          <w:headerReference w:type="default" r:id="rId7"/>
          <w:type w:val="continuous"/>
          <w:pgSz w:w="12240" w:h="15840"/>
          <w:pgMar w:top="2340" w:right="1580" w:bottom="280" w:left="1460" w:header="427" w:footer="720" w:gutter="0"/>
          <w:cols w:space="720"/>
        </w:sectPr>
      </w:pPr>
    </w:p>
    <w:p w14:paraId="07603ADA" w14:textId="77777777" w:rsidR="0036580D" w:rsidRDefault="0036580D">
      <w:pPr>
        <w:pStyle w:val="Textoindependiente"/>
        <w:spacing w:before="3"/>
        <w:rPr>
          <w:sz w:val="12"/>
        </w:rPr>
      </w:pPr>
    </w:p>
    <w:p w14:paraId="11BE7AA4" w14:textId="77777777" w:rsidR="0036580D" w:rsidRDefault="00460739">
      <w:pPr>
        <w:pStyle w:val="Prrafodelista"/>
        <w:numPr>
          <w:ilvl w:val="1"/>
          <w:numId w:val="2"/>
        </w:numPr>
        <w:tabs>
          <w:tab w:val="left" w:pos="962"/>
        </w:tabs>
        <w:spacing w:before="100" w:line="276" w:lineRule="auto"/>
        <w:ind w:left="961" w:right="116" w:hanging="360"/>
        <w:jc w:val="both"/>
        <w:rPr>
          <w:sz w:val="24"/>
        </w:rPr>
      </w:pPr>
      <w:r>
        <w:rPr>
          <w:sz w:val="24"/>
        </w:rPr>
        <w:t>Debe rendir cuentas, propiciar el acceso a la información y presentarla de forma transparente y sencilla. Procurar utilizar al máximo las tecnologías de la información y la comunicación, como un medio más para redefinir su relación con el resto de la so</w:t>
      </w:r>
      <w:r>
        <w:rPr>
          <w:sz w:val="24"/>
        </w:rPr>
        <w:t xml:space="preserve">ciedad y generar espacios de participación que trasciendan lo informativo y </w:t>
      </w:r>
      <w:r>
        <w:rPr>
          <w:b/>
          <w:sz w:val="24"/>
        </w:rPr>
        <w:t>permitan a la ciudadanía generar ideas, monitorear y ser partícipe de las decisiones públicas</w:t>
      </w:r>
      <w:r>
        <w:rPr>
          <w:sz w:val="24"/>
        </w:rPr>
        <w:t xml:space="preserve">. Es así como Parlamento Abierto se ha definido </w:t>
      </w:r>
      <w:r>
        <w:rPr>
          <w:b/>
          <w:sz w:val="24"/>
        </w:rPr>
        <w:t>como una nueva forma de interacción entre la ciudadanía y el parlamento</w:t>
      </w:r>
      <w:r>
        <w:rPr>
          <w:sz w:val="24"/>
        </w:rPr>
        <w:t>, que permite la participación de la ciudadanía en el proceso de creación de leyes utilizando las Tecnologías de Información y Comunicaci</w:t>
      </w:r>
      <w:r>
        <w:rPr>
          <w:sz w:val="24"/>
        </w:rPr>
        <w:t>ón (</w:t>
      </w:r>
      <w:proofErr w:type="spellStart"/>
      <w:r>
        <w:rPr>
          <w:sz w:val="24"/>
        </w:rPr>
        <w:t>TICs</w:t>
      </w:r>
      <w:proofErr w:type="spellEnd"/>
      <w:r>
        <w:rPr>
          <w:sz w:val="24"/>
        </w:rPr>
        <w:t>) e</w:t>
      </w:r>
      <w:r>
        <w:rPr>
          <w:spacing w:val="-10"/>
          <w:sz w:val="24"/>
        </w:rPr>
        <w:t xml:space="preserve"> </w:t>
      </w:r>
      <w:r>
        <w:rPr>
          <w:sz w:val="24"/>
        </w:rPr>
        <w:t>internet.</w:t>
      </w:r>
    </w:p>
    <w:p w14:paraId="537396F4" w14:textId="77777777" w:rsidR="0036580D" w:rsidRDefault="0036580D">
      <w:pPr>
        <w:pStyle w:val="Textoindependiente"/>
        <w:rPr>
          <w:i w:val="0"/>
          <w:sz w:val="28"/>
        </w:rPr>
      </w:pPr>
    </w:p>
    <w:p w14:paraId="14730362" w14:textId="77777777" w:rsidR="0036580D" w:rsidRDefault="0036580D">
      <w:pPr>
        <w:pStyle w:val="Textoindependiente"/>
        <w:spacing w:before="6"/>
        <w:rPr>
          <w:i w:val="0"/>
          <w:sz w:val="27"/>
        </w:rPr>
      </w:pPr>
    </w:p>
    <w:p w14:paraId="1B5579EE" w14:textId="77777777" w:rsidR="0036580D" w:rsidRDefault="00460739">
      <w:pPr>
        <w:spacing w:line="276" w:lineRule="auto"/>
        <w:ind w:left="242" w:right="116"/>
        <w:jc w:val="both"/>
        <w:rPr>
          <w:sz w:val="24"/>
        </w:rPr>
      </w:pPr>
      <w:r>
        <w:rPr>
          <w:b/>
          <w:sz w:val="24"/>
        </w:rPr>
        <w:t xml:space="preserve">II.- </w:t>
      </w:r>
      <w:r>
        <w:rPr>
          <w:sz w:val="24"/>
        </w:rPr>
        <w:t xml:space="preserve">El </w:t>
      </w:r>
      <w:r>
        <w:rPr>
          <w:i/>
          <w:sz w:val="24"/>
        </w:rPr>
        <w:t xml:space="preserve">Diagnóstico de Parlamento abierto en México </w:t>
      </w:r>
      <w:r>
        <w:rPr>
          <w:sz w:val="24"/>
        </w:rPr>
        <w:t>realizado por el  Instituto Mexicano para la Competitividad A.C. (IMCO) en su primera edición publicada en 2015, señala que el Congreso de la Unión se sumó a los países que adoptan</w:t>
      </w:r>
      <w:r>
        <w:rPr>
          <w:sz w:val="24"/>
        </w:rPr>
        <w:t xml:space="preserve"> una política pública de Parlamento Abierto, producto de las demandas y peticiones planteadas por organizaciones de la sociedad civil para que nuestro Poder Legislativo contara con mecanismos de transparencia parlamentaria que propicien la generación de un</w:t>
      </w:r>
      <w:r>
        <w:rPr>
          <w:sz w:val="24"/>
        </w:rPr>
        <w:t xml:space="preserve"> puente directo entre el Congreso de la Unión y la</w:t>
      </w:r>
      <w:r>
        <w:rPr>
          <w:spacing w:val="-4"/>
          <w:sz w:val="24"/>
        </w:rPr>
        <w:t xml:space="preserve"> </w:t>
      </w:r>
      <w:r>
        <w:rPr>
          <w:sz w:val="24"/>
        </w:rPr>
        <w:t>ciudadanía.</w:t>
      </w:r>
    </w:p>
    <w:p w14:paraId="39336332" w14:textId="77777777" w:rsidR="0036580D" w:rsidRDefault="0036580D">
      <w:pPr>
        <w:pStyle w:val="Textoindependiente"/>
        <w:spacing w:before="5"/>
        <w:rPr>
          <w:i w:val="0"/>
          <w:sz w:val="27"/>
        </w:rPr>
      </w:pPr>
    </w:p>
    <w:p w14:paraId="037156CD" w14:textId="77777777" w:rsidR="0036580D" w:rsidRDefault="00460739">
      <w:pPr>
        <w:spacing w:line="276" w:lineRule="auto"/>
        <w:ind w:left="242" w:right="115"/>
        <w:jc w:val="both"/>
        <w:rPr>
          <w:sz w:val="24"/>
        </w:rPr>
      </w:pPr>
      <w:r>
        <w:rPr>
          <w:sz w:val="24"/>
        </w:rPr>
        <w:t xml:space="preserve">Derivado de la iniciativa internacional Alianza para el Gobierno Abierto (Open </w:t>
      </w:r>
      <w:proofErr w:type="spellStart"/>
      <w:r>
        <w:rPr>
          <w:sz w:val="24"/>
        </w:rPr>
        <w:t>Government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Partnership</w:t>
      </w:r>
      <w:proofErr w:type="spellEnd"/>
      <w:r>
        <w:rPr>
          <w:sz w:val="24"/>
        </w:rPr>
        <w:t xml:space="preserve">) a partir del 2011 México ha formato parte de </w:t>
      </w:r>
      <w:proofErr w:type="gramStart"/>
      <w:r>
        <w:rPr>
          <w:sz w:val="24"/>
        </w:rPr>
        <w:t>la misma</w:t>
      </w:r>
      <w:proofErr w:type="gramEnd"/>
      <w:r>
        <w:rPr>
          <w:sz w:val="24"/>
        </w:rPr>
        <w:t xml:space="preserve">. La cual conforma una plataforma para los países comprometidos a que sus gobiernos rindan cuentas, </w:t>
      </w:r>
      <w:r>
        <w:rPr>
          <w:sz w:val="24"/>
        </w:rPr>
        <w:t>sean más abiertos y mejoren su capacidad de respuesta hacia sus ciudadanos.</w:t>
      </w:r>
    </w:p>
    <w:p w14:paraId="2E1B9D96" w14:textId="77777777" w:rsidR="0036580D" w:rsidRDefault="0036580D">
      <w:pPr>
        <w:pStyle w:val="Textoindependiente"/>
        <w:spacing w:before="7"/>
        <w:rPr>
          <w:i w:val="0"/>
          <w:sz w:val="27"/>
        </w:rPr>
      </w:pPr>
    </w:p>
    <w:p w14:paraId="74795649" w14:textId="77777777" w:rsidR="0036580D" w:rsidRDefault="00460739">
      <w:pPr>
        <w:spacing w:before="1" w:line="276" w:lineRule="auto"/>
        <w:ind w:left="242" w:right="115"/>
        <w:jc w:val="both"/>
        <w:rPr>
          <w:sz w:val="24"/>
        </w:rPr>
      </w:pPr>
      <w:r>
        <w:rPr>
          <w:sz w:val="24"/>
        </w:rPr>
        <w:t>La finalidad de esta Alianza Internacional es fomentar aquellas reformas y acciones necesarias en la Cámara de Diputados y de Senadores, así como de los Congresos Locales para que</w:t>
      </w:r>
      <w:r>
        <w:rPr>
          <w:sz w:val="24"/>
        </w:rPr>
        <w:t xml:space="preserve"> </w:t>
      </w:r>
      <w:proofErr w:type="gramStart"/>
      <w:r>
        <w:rPr>
          <w:sz w:val="24"/>
        </w:rPr>
        <w:t>el desarrollo de sus actividades legislativas se basen</w:t>
      </w:r>
      <w:proofErr w:type="gramEnd"/>
      <w:r>
        <w:rPr>
          <w:sz w:val="24"/>
        </w:rPr>
        <w:t xml:space="preserve"> en los elementos propios del Parlamento Abierto.</w:t>
      </w:r>
    </w:p>
    <w:p w14:paraId="6DF023B4" w14:textId="77777777" w:rsidR="0036580D" w:rsidRDefault="0036580D">
      <w:pPr>
        <w:pStyle w:val="Textoindependiente"/>
        <w:spacing w:before="6"/>
        <w:rPr>
          <w:i w:val="0"/>
          <w:sz w:val="27"/>
        </w:rPr>
      </w:pPr>
    </w:p>
    <w:p w14:paraId="3096B3E4" w14:textId="77777777" w:rsidR="0036580D" w:rsidRDefault="00460739">
      <w:pPr>
        <w:spacing w:before="1" w:line="276" w:lineRule="auto"/>
        <w:ind w:left="242" w:right="117"/>
        <w:jc w:val="both"/>
        <w:rPr>
          <w:sz w:val="24"/>
        </w:rPr>
      </w:pPr>
      <w:r>
        <w:rPr>
          <w:sz w:val="24"/>
        </w:rPr>
        <w:t>Contar con un Congreso que aplique las acciones propias de Parlamento Abierto permitirá generar mecanismos que promuevan puntualmente la participación</w:t>
      </w:r>
      <w:r>
        <w:rPr>
          <w:sz w:val="24"/>
        </w:rPr>
        <w:t xml:space="preserve"> efectiva de la ciudadanía, utilizando tecnologías de información y comunicación que faciliten este actuar.</w:t>
      </w:r>
    </w:p>
    <w:p w14:paraId="20800347" w14:textId="77777777" w:rsidR="0036580D" w:rsidRDefault="0036580D">
      <w:pPr>
        <w:spacing w:line="276" w:lineRule="auto"/>
        <w:jc w:val="both"/>
        <w:rPr>
          <w:sz w:val="24"/>
        </w:rPr>
        <w:sectPr w:rsidR="0036580D">
          <w:pgSz w:w="12240" w:h="15840"/>
          <w:pgMar w:top="2340" w:right="1580" w:bottom="280" w:left="1460" w:header="427" w:footer="0" w:gutter="0"/>
          <w:cols w:space="720"/>
        </w:sectPr>
      </w:pPr>
    </w:p>
    <w:p w14:paraId="6A0A7F46" w14:textId="77777777" w:rsidR="0036580D" w:rsidRDefault="0036580D">
      <w:pPr>
        <w:pStyle w:val="Textoindependiente"/>
        <w:spacing w:before="3"/>
        <w:rPr>
          <w:i w:val="0"/>
          <w:sz w:val="12"/>
        </w:rPr>
      </w:pPr>
    </w:p>
    <w:p w14:paraId="2FC1A162" w14:textId="77777777" w:rsidR="0036580D" w:rsidRDefault="00460739">
      <w:pPr>
        <w:spacing w:before="100" w:line="276" w:lineRule="auto"/>
        <w:ind w:left="242" w:right="115"/>
        <w:jc w:val="both"/>
        <w:rPr>
          <w:sz w:val="24"/>
        </w:rPr>
      </w:pPr>
      <w:r>
        <w:rPr>
          <w:b/>
          <w:sz w:val="24"/>
        </w:rPr>
        <w:t>III.-</w:t>
      </w:r>
      <w:r>
        <w:rPr>
          <w:sz w:val="24"/>
        </w:rPr>
        <w:t xml:space="preserve">Que los Objetivos de Desarrollo Sostenible establecidos en la </w:t>
      </w:r>
      <w:r>
        <w:rPr>
          <w:b/>
          <w:sz w:val="24"/>
        </w:rPr>
        <w:t>Agenda 2030 de la ONU, el Objetivo 16</w:t>
      </w:r>
      <w:r>
        <w:rPr>
          <w:sz w:val="24"/>
        </w:rPr>
        <w:t>: Paz, Justicia e Institucion</w:t>
      </w:r>
      <w:r>
        <w:rPr>
          <w:sz w:val="24"/>
        </w:rPr>
        <w:t>es Sólidas, indica:</w:t>
      </w:r>
    </w:p>
    <w:p w14:paraId="3258F73B" w14:textId="77777777" w:rsidR="0036580D" w:rsidRDefault="00460739">
      <w:pPr>
        <w:spacing w:before="199" w:line="276" w:lineRule="auto"/>
        <w:ind w:left="950" w:right="233"/>
        <w:jc w:val="both"/>
        <w:rPr>
          <w:sz w:val="24"/>
        </w:rPr>
      </w:pPr>
      <w:r>
        <w:rPr>
          <w:sz w:val="24"/>
        </w:rPr>
        <w:t>El objetivo 16 de los Objetivos de Desarrollo Sostenible propuestos se centra en la promoción de sociedades pacíficas e inclusivas para el desarrollo sostenible, la provisión de acceso a la justicia para todos y la construcción de insti</w:t>
      </w:r>
      <w:r>
        <w:rPr>
          <w:sz w:val="24"/>
        </w:rPr>
        <w:t>tuciones responsables y eficaces a todos los niveles.</w:t>
      </w:r>
    </w:p>
    <w:p w14:paraId="1A1168FA" w14:textId="77777777" w:rsidR="0036580D" w:rsidRDefault="0036580D">
      <w:pPr>
        <w:pStyle w:val="Textoindependiente"/>
        <w:spacing w:before="6"/>
        <w:rPr>
          <w:i w:val="0"/>
          <w:sz w:val="27"/>
        </w:rPr>
      </w:pPr>
    </w:p>
    <w:p w14:paraId="28F510CB" w14:textId="77777777" w:rsidR="0036580D" w:rsidRDefault="00460739">
      <w:pPr>
        <w:ind w:left="950"/>
        <w:jc w:val="both"/>
        <w:rPr>
          <w:sz w:val="24"/>
        </w:rPr>
      </w:pPr>
      <w:r>
        <w:rPr>
          <w:sz w:val="24"/>
        </w:rPr>
        <w:t>Dentro de sus Metas se encuentran,</w:t>
      </w:r>
    </w:p>
    <w:p w14:paraId="5C920AA5" w14:textId="77777777" w:rsidR="0036580D" w:rsidRDefault="00460739">
      <w:pPr>
        <w:pStyle w:val="Prrafodelista"/>
        <w:numPr>
          <w:ilvl w:val="1"/>
          <w:numId w:val="1"/>
        </w:numPr>
        <w:tabs>
          <w:tab w:val="left" w:pos="1982"/>
        </w:tabs>
        <w:spacing w:before="42" w:line="278" w:lineRule="auto"/>
        <w:ind w:right="235" w:firstLine="283"/>
        <w:jc w:val="both"/>
        <w:rPr>
          <w:i/>
          <w:sz w:val="24"/>
        </w:rPr>
      </w:pPr>
      <w:r>
        <w:rPr>
          <w:i/>
          <w:sz w:val="24"/>
        </w:rPr>
        <w:t xml:space="preserve">Crear a todos los niveles </w:t>
      </w:r>
      <w:r>
        <w:rPr>
          <w:b/>
          <w:i/>
          <w:sz w:val="24"/>
        </w:rPr>
        <w:t xml:space="preserve">instituciones eficaces </w:t>
      </w:r>
      <w:r>
        <w:rPr>
          <w:i/>
          <w:sz w:val="24"/>
        </w:rPr>
        <w:t>y transparentes que rindan cuentas.</w:t>
      </w:r>
    </w:p>
    <w:p w14:paraId="69AF400B" w14:textId="77777777" w:rsidR="0036580D" w:rsidRDefault="00460739">
      <w:pPr>
        <w:pStyle w:val="Prrafodelista"/>
        <w:numPr>
          <w:ilvl w:val="1"/>
          <w:numId w:val="1"/>
        </w:numPr>
        <w:tabs>
          <w:tab w:val="left" w:pos="1872"/>
        </w:tabs>
        <w:spacing w:line="276" w:lineRule="auto"/>
        <w:ind w:right="233" w:firstLine="283"/>
        <w:jc w:val="both"/>
        <w:rPr>
          <w:i/>
          <w:sz w:val="24"/>
        </w:rPr>
      </w:pPr>
      <w:r>
        <w:rPr>
          <w:i/>
          <w:sz w:val="24"/>
        </w:rPr>
        <w:t xml:space="preserve">Garantizar la adopción en todos los niveles de </w:t>
      </w:r>
      <w:r>
        <w:rPr>
          <w:b/>
          <w:i/>
          <w:sz w:val="24"/>
        </w:rPr>
        <w:t xml:space="preserve">decisiones inclusivas, participativas y representativas </w:t>
      </w:r>
      <w:r>
        <w:rPr>
          <w:i/>
          <w:sz w:val="24"/>
        </w:rPr>
        <w:t>que respondan a las necesidades.</w:t>
      </w:r>
    </w:p>
    <w:p w14:paraId="0338D99D" w14:textId="77777777" w:rsidR="0036580D" w:rsidRDefault="0036580D">
      <w:pPr>
        <w:pStyle w:val="Textoindependiente"/>
        <w:spacing w:before="3"/>
        <w:rPr>
          <w:sz w:val="27"/>
        </w:rPr>
      </w:pPr>
    </w:p>
    <w:p w14:paraId="370119ED" w14:textId="77777777" w:rsidR="0036580D" w:rsidRDefault="00460739">
      <w:pPr>
        <w:spacing w:line="276" w:lineRule="auto"/>
        <w:ind w:left="100"/>
        <w:rPr>
          <w:b/>
          <w:sz w:val="24"/>
        </w:rPr>
      </w:pPr>
      <w:r>
        <w:rPr>
          <w:b/>
          <w:sz w:val="24"/>
        </w:rPr>
        <w:t xml:space="preserve">IV.- </w:t>
      </w:r>
      <w:r>
        <w:rPr>
          <w:sz w:val="24"/>
        </w:rPr>
        <w:t xml:space="preserve">Relacionado con el tema en cuestión, </w:t>
      </w:r>
      <w:r>
        <w:rPr>
          <w:b/>
          <w:sz w:val="24"/>
        </w:rPr>
        <w:t>el Plan Nacional de Desarrollo 2019 – 2024 señala en:</w:t>
      </w:r>
    </w:p>
    <w:p w14:paraId="404C744A" w14:textId="77777777" w:rsidR="0036580D" w:rsidRDefault="0036580D">
      <w:pPr>
        <w:pStyle w:val="Textoindependiente"/>
        <w:spacing w:before="10"/>
        <w:rPr>
          <w:b/>
          <w:i w:val="0"/>
          <w:sz w:val="27"/>
        </w:rPr>
      </w:pPr>
    </w:p>
    <w:p w14:paraId="50160789" w14:textId="77777777" w:rsidR="0036580D" w:rsidRDefault="00460739">
      <w:pPr>
        <w:pStyle w:val="Textoindependiente"/>
        <w:ind w:left="950"/>
        <w:rPr>
          <w:b/>
        </w:rPr>
      </w:pPr>
      <w:r>
        <w:rPr>
          <w:b/>
        </w:rPr>
        <w:t>I.3 Perspectiva de lar</w:t>
      </w:r>
      <w:r>
        <w:rPr>
          <w:b/>
        </w:rPr>
        <w:t>go Plazo</w:t>
      </w:r>
    </w:p>
    <w:p w14:paraId="782BE5A3" w14:textId="77777777" w:rsidR="0036580D" w:rsidRDefault="0036580D">
      <w:pPr>
        <w:pStyle w:val="Textoindependiente"/>
        <w:spacing w:before="6"/>
        <w:rPr>
          <w:b/>
          <w:sz w:val="28"/>
        </w:rPr>
      </w:pPr>
    </w:p>
    <w:p w14:paraId="47159A5F" w14:textId="77777777" w:rsidR="0036580D" w:rsidRDefault="00460739">
      <w:pPr>
        <w:pStyle w:val="Textoindependiente"/>
        <w:spacing w:line="276" w:lineRule="auto"/>
        <w:ind w:left="950" w:right="233"/>
        <w:jc w:val="both"/>
      </w:pPr>
      <w:r>
        <w:t xml:space="preserve">Con las propuestas de acción planteadas en el presente y detalladas en el </w:t>
      </w:r>
      <w:r>
        <w:t>PND 2019-2024, durante los próximos 20 años México habrá construido las bases sólidas para asegurar un país con justicia, entendida como el respeto a los derechos humanos y</w:t>
      </w:r>
      <w:r>
        <w:t xml:space="preserve"> la garantía de que la ley se aplique a todas las personas por igual. Asimismo, se habrá avanzado en la consolidación de la gobernabilidad y en la construcción de una democracia vigorosa, basada en instituciones fuertes y </w:t>
      </w:r>
      <w:r>
        <w:rPr>
          <w:b/>
        </w:rPr>
        <w:t>mecanismos auténticamente democráticos</w:t>
      </w:r>
      <w:r>
        <w:t xml:space="preserve">, </w:t>
      </w:r>
      <w:r>
        <w:t xml:space="preserve">tanto representativos como participativos, que contribuyan a que </w:t>
      </w:r>
      <w:r>
        <w:rPr>
          <w:b/>
        </w:rPr>
        <w:t xml:space="preserve">la </w:t>
      </w:r>
      <w:r>
        <w:rPr>
          <w:b/>
        </w:rPr>
        <w:t xml:space="preserve">participación ciudadana se convierta en un motor </w:t>
      </w:r>
      <w:r>
        <w:t xml:space="preserve">para proteger y </w:t>
      </w:r>
      <w:r>
        <w:t>garantizar el pleno ejercicio de los derechos humanos y el desarrollo democrático.</w:t>
      </w:r>
    </w:p>
    <w:p w14:paraId="22D0079B" w14:textId="77777777" w:rsidR="0036580D" w:rsidRDefault="0036580D">
      <w:pPr>
        <w:pStyle w:val="Textoindependiente"/>
        <w:spacing w:before="3"/>
        <w:rPr>
          <w:sz w:val="25"/>
        </w:rPr>
      </w:pPr>
    </w:p>
    <w:p w14:paraId="21C077AA" w14:textId="77777777" w:rsidR="0036580D" w:rsidRDefault="00460739">
      <w:pPr>
        <w:pStyle w:val="Textoindependiente"/>
        <w:spacing w:before="1" w:line="276" w:lineRule="auto"/>
        <w:ind w:left="950" w:right="234"/>
        <w:jc w:val="both"/>
      </w:pPr>
      <w:r>
        <w:t xml:space="preserve">Dentro del eje general de “Justicia y Estado de Derecho” que tiene como </w:t>
      </w:r>
      <w:r>
        <w:t>objetivo:</w:t>
      </w:r>
    </w:p>
    <w:p w14:paraId="6FBB6AA1" w14:textId="77777777" w:rsidR="0036580D" w:rsidRDefault="00460739">
      <w:pPr>
        <w:pStyle w:val="Textoindependiente"/>
        <w:spacing w:before="1" w:line="276" w:lineRule="auto"/>
        <w:ind w:left="950" w:right="236"/>
        <w:jc w:val="both"/>
      </w:pPr>
      <w:r>
        <w:t xml:space="preserve">Garantizar la construcción de la paz, el pleno ejercicio de los derechos </w:t>
      </w:r>
      <w:r>
        <w:t>humanos, la gobernabilidad democrática y el fortalecimiento de las instituciones del Estado mexicano</w:t>
      </w:r>
      <w:r>
        <w:t xml:space="preserve"> se encuentra el Objetivo 1.2 Fortalecer la</w:t>
      </w:r>
    </w:p>
    <w:p w14:paraId="03F69356" w14:textId="77777777" w:rsidR="0036580D" w:rsidRDefault="0036580D">
      <w:pPr>
        <w:spacing w:line="276" w:lineRule="auto"/>
        <w:jc w:val="both"/>
        <w:sectPr w:rsidR="0036580D">
          <w:pgSz w:w="12240" w:h="15840"/>
          <w:pgMar w:top="2340" w:right="1580" w:bottom="280" w:left="1460" w:header="427" w:footer="0" w:gutter="0"/>
          <w:cols w:space="720"/>
        </w:sectPr>
      </w:pPr>
    </w:p>
    <w:p w14:paraId="257EECA3" w14:textId="77777777" w:rsidR="0036580D" w:rsidRDefault="0036580D">
      <w:pPr>
        <w:pStyle w:val="Textoindependiente"/>
        <w:spacing w:before="4"/>
        <w:rPr>
          <w:sz w:val="12"/>
        </w:rPr>
      </w:pPr>
    </w:p>
    <w:p w14:paraId="1148EB01" w14:textId="77777777" w:rsidR="0036580D" w:rsidRDefault="00460739">
      <w:pPr>
        <w:pStyle w:val="Textoindependiente"/>
        <w:spacing w:before="101" w:line="276" w:lineRule="auto"/>
        <w:ind w:left="950" w:right="234"/>
        <w:jc w:val="both"/>
      </w:pPr>
      <w:r>
        <w:t xml:space="preserve">cultura democrática, </w:t>
      </w:r>
      <w:r>
        <w:rPr>
          <w:b/>
        </w:rPr>
        <w:t xml:space="preserve">abrir el gobierno a la participación social y </w:t>
      </w:r>
      <w:r>
        <w:rPr>
          <w:b/>
        </w:rPr>
        <w:t>escuchar de manera permanente a la sociedad</w:t>
      </w:r>
      <w:r>
        <w:t xml:space="preserve">, dando especial </w:t>
      </w:r>
      <w:r>
        <w:t>atención a las mujeres y los grupos históricamente discriminados y mar</w:t>
      </w:r>
      <w:r>
        <w:t>ginados.</w:t>
      </w:r>
    </w:p>
    <w:p w14:paraId="356C4B46" w14:textId="77777777" w:rsidR="0036580D" w:rsidRDefault="0036580D">
      <w:pPr>
        <w:pStyle w:val="Textoindependiente"/>
        <w:spacing w:before="4"/>
        <w:rPr>
          <w:sz w:val="25"/>
        </w:rPr>
      </w:pPr>
    </w:p>
    <w:p w14:paraId="169081F7" w14:textId="77777777" w:rsidR="0036580D" w:rsidRDefault="00460739">
      <w:pPr>
        <w:pStyle w:val="Textoindependiente"/>
        <w:spacing w:line="276" w:lineRule="auto"/>
        <w:ind w:left="950" w:right="233"/>
        <w:jc w:val="both"/>
      </w:pPr>
      <w:r>
        <w:t xml:space="preserve">El porcentaje de las personas mexicanas que consideran que la democracia </w:t>
      </w:r>
      <w:r>
        <w:t xml:space="preserve">es preferible a cualquier otra forma de gobierno ha decaído de un máximo histórico de 63% en 2002 a solo 38% en 2017. </w:t>
      </w:r>
      <w:r>
        <w:rPr>
          <w:b/>
        </w:rPr>
        <w:t xml:space="preserve">Esta caída refleja en </w:t>
      </w:r>
      <w:r>
        <w:rPr>
          <w:b/>
        </w:rPr>
        <w:t>parte la decepción que vivieron los mexicanos con una democracia en la que no existían vías institucionales de parti</w:t>
      </w:r>
      <w:r>
        <w:rPr>
          <w:b/>
        </w:rPr>
        <w:t>cipación ciudadana</w:t>
      </w:r>
      <w:r>
        <w:t xml:space="preserve">, como lo refleja el hecho de que, en 2012, de acuerdo con el </w:t>
      </w:r>
      <w:r>
        <w:t>INEGI, ocho de cada diez personas consideraron que el ejercicio del voto es el único mecanismo con el que cuentan para expresar su opinión sobre si el gobierno actúa de manera</w:t>
      </w:r>
      <w:r>
        <w:rPr>
          <w:spacing w:val="-1"/>
        </w:rPr>
        <w:t xml:space="preserve"> </w:t>
      </w:r>
      <w:r>
        <w:t>correcta.</w:t>
      </w:r>
    </w:p>
    <w:p w14:paraId="40D6A9C9" w14:textId="77777777" w:rsidR="0036580D" w:rsidRDefault="0036580D">
      <w:pPr>
        <w:pStyle w:val="Textoindependiente"/>
        <w:spacing w:before="5"/>
        <w:rPr>
          <w:sz w:val="25"/>
        </w:rPr>
      </w:pPr>
    </w:p>
    <w:p w14:paraId="063C61AF" w14:textId="77777777" w:rsidR="0036580D" w:rsidRDefault="00460739">
      <w:pPr>
        <w:pStyle w:val="Textoindependiente"/>
        <w:spacing w:line="276" w:lineRule="auto"/>
        <w:ind w:left="950" w:right="233"/>
        <w:jc w:val="both"/>
      </w:pPr>
      <w:r>
        <w:t xml:space="preserve">Por ello, el Gobierno de México se compromete a generar canales de </w:t>
      </w:r>
      <w:r>
        <w:t>comunicación permanentes con las personas y con los distintos sectores de la población a través de todas las dependencias y entidades que lo conforman.</w:t>
      </w:r>
    </w:p>
    <w:p w14:paraId="557C2BFF" w14:textId="77777777" w:rsidR="0036580D" w:rsidRDefault="0036580D">
      <w:pPr>
        <w:pStyle w:val="Textoindependiente"/>
        <w:rPr>
          <w:sz w:val="26"/>
        </w:rPr>
      </w:pPr>
    </w:p>
    <w:p w14:paraId="17B0C309" w14:textId="77777777" w:rsidR="0036580D" w:rsidRDefault="0036580D">
      <w:pPr>
        <w:pStyle w:val="Textoindependiente"/>
        <w:spacing w:before="10"/>
        <w:rPr>
          <w:sz w:val="28"/>
        </w:rPr>
      </w:pPr>
    </w:p>
    <w:p w14:paraId="7336EB3C" w14:textId="77777777" w:rsidR="0036580D" w:rsidRDefault="00460739">
      <w:pPr>
        <w:pStyle w:val="Ttulo1"/>
        <w:spacing w:line="276" w:lineRule="auto"/>
        <w:ind w:left="100" w:right="0"/>
        <w:jc w:val="left"/>
      </w:pPr>
      <w:r>
        <w:rPr>
          <w:b/>
        </w:rPr>
        <w:t xml:space="preserve">V.- </w:t>
      </w:r>
      <w:r>
        <w:t xml:space="preserve">En el </w:t>
      </w:r>
      <w:r>
        <w:rPr>
          <w:b/>
        </w:rPr>
        <w:t>Plan Estatal d</w:t>
      </w:r>
      <w:r>
        <w:rPr>
          <w:b/>
        </w:rPr>
        <w:t xml:space="preserve">e Desarrollo 2019 – 2024 </w:t>
      </w:r>
      <w:r>
        <w:t>en el Apartado de Diagnóstico, señala:</w:t>
      </w:r>
    </w:p>
    <w:p w14:paraId="1CEB5B21" w14:textId="77777777" w:rsidR="0036580D" w:rsidRDefault="0036580D">
      <w:pPr>
        <w:pStyle w:val="Textoindependiente"/>
        <w:spacing w:before="9"/>
        <w:rPr>
          <w:i w:val="0"/>
          <w:sz w:val="27"/>
        </w:rPr>
      </w:pPr>
    </w:p>
    <w:p w14:paraId="0C13BE0F" w14:textId="77777777" w:rsidR="0036580D" w:rsidRDefault="00460739">
      <w:pPr>
        <w:pStyle w:val="Textoindependiente"/>
        <w:ind w:left="1473" w:right="1253"/>
        <w:jc w:val="center"/>
        <w:rPr>
          <w:b/>
        </w:rPr>
      </w:pPr>
      <w:r>
        <w:rPr>
          <w:b/>
        </w:rPr>
        <w:t>PARTICIPACIÓN SOCIAL Y VIGILANCIA CIUDADANA</w:t>
      </w:r>
    </w:p>
    <w:p w14:paraId="6C6EFA59" w14:textId="77777777" w:rsidR="0036580D" w:rsidRDefault="00460739">
      <w:pPr>
        <w:pStyle w:val="Textoindependiente"/>
        <w:spacing w:before="40" w:line="276" w:lineRule="auto"/>
        <w:ind w:left="950" w:right="237"/>
        <w:jc w:val="both"/>
      </w:pPr>
      <w:r>
        <w:t xml:space="preserve">Con información del Programa de las Naciones Unidas para el Desarrollo </w:t>
      </w:r>
      <w:r>
        <w:t>(PNUD, 2018), la participación de la sociedad es un elemento clave para toma</w:t>
      </w:r>
      <w:r>
        <w:t>r parte en los asuntos públicos, y no sólo se limita el derecho al voto, sino que ha evolucionado a la par de otros conceptos como democracia, ciudadanía, sociedad civil y gobernanza.</w:t>
      </w:r>
    </w:p>
    <w:p w14:paraId="78870B4F" w14:textId="77777777" w:rsidR="0036580D" w:rsidRDefault="00460739">
      <w:pPr>
        <w:pStyle w:val="Textoindependiente"/>
        <w:spacing w:before="1" w:line="276" w:lineRule="auto"/>
        <w:ind w:left="950" w:right="237"/>
        <w:jc w:val="both"/>
      </w:pPr>
      <w:r>
        <w:t xml:space="preserve">Asimismo, </w:t>
      </w:r>
      <w:proofErr w:type="gramStart"/>
      <w:r>
        <w:t>de acuerdo al</w:t>
      </w:r>
      <w:proofErr w:type="gramEnd"/>
      <w:r>
        <w:t xml:space="preserve"> Banco Mundial se ha observado que, “a través de </w:t>
      </w:r>
      <w:r>
        <w:t>todo el mundo cuando los ciudadanos participan y se involucran, ellos pueden ayudar a mejorar el proceso de formulación de políticas y la prestación de servicios” (Banco Mundial, 2017).</w:t>
      </w:r>
    </w:p>
    <w:p w14:paraId="6FC9D3F3" w14:textId="77777777" w:rsidR="0036580D" w:rsidRDefault="00460739">
      <w:pPr>
        <w:pStyle w:val="Textoindependiente"/>
        <w:spacing w:line="276" w:lineRule="auto"/>
        <w:ind w:left="950" w:right="236"/>
        <w:jc w:val="both"/>
      </w:pPr>
      <w:r>
        <w:t>Esta participación, implica que exista un involucramiento corresponsab</w:t>
      </w:r>
      <w:r>
        <w:t xml:space="preserve">le de </w:t>
      </w:r>
      <w:r>
        <w:t>diversos sectores de la sociedad en la toma de decisiones que inciden en su entorno.</w:t>
      </w:r>
    </w:p>
    <w:p w14:paraId="2CD51407" w14:textId="77777777" w:rsidR="0036580D" w:rsidRDefault="0036580D">
      <w:pPr>
        <w:pStyle w:val="Textoindependiente"/>
        <w:spacing w:before="3"/>
        <w:rPr>
          <w:sz w:val="25"/>
        </w:rPr>
      </w:pPr>
    </w:p>
    <w:p w14:paraId="056E290A" w14:textId="77777777" w:rsidR="0036580D" w:rsidRDefault="00460739">
      <w:pPr>
        <w:pStyle w:val="Textoindependiente"/>
        <w:spacing w:before="1"/>
        <w:ind w:left="1658"/>
        <w:rPr>
          <w:b/>
        </w:rPr>
      </w:pPr>
      <w:r>
        <w:rPr>
          <w:b/>
        </w:rPr>
        <w:t>GOBIERNO ABIERTO</w:t>
      </w:r>
    </w:p>
    <w:p w14:paraId="6E290599" w14:textId="77777777" w:rsidR="0036580D" w:rsidRDefault="00460739">
      <w:pPr>
        <w:pStyle w:val="Textoindependiente"/>
        <w:spacing w:before="39"/>
        <w:ind w:left="950"/>
        <w:jc w:val="both"/>
      </w:pPr>
      <w:r>
        <w:t>Cuando la información no se encuentra a disposición de la ciudadanía, la</w:t>
      </w:r>
    </w:p>
    <w:p w14:paraId="36C8BBCA" w14:textId="77777777" w:rsidR="0036580D" w:rsidRDefault="0036580D">
      <w:pPr>
        <w:jc w:val="both"/>
        <w:sectPr w:rsidR="0036580D">
          <w:pgSz w:w="12240" w:h="15840"/>
          <w:pgMar w:top="2340" w:right="1580" w:bottom="280" w:left="1460" w:header="427" w:footer="0" w:gutter="0"/>
          <w:cols w:space="720"/>
        </w:sectPr>
      </w:pPr>
    </w:p>
    <w:p w14:paraId="4DD8FBF0" w14:textId="77777777" w:rsidR="0036580D" w:rsidRDefault="0036580D">
      <w:pPr>
        <w:pStyle w:val="Textoindependiente"/>
        <w:spacing w:before="4"/>
        <w:rPr>
          <w:sz w:val="12"/>
        </w:rPr>
      </w:pPr>
    </w:p>
    <w:p w14:paraId="184611F0" w14:textId="77777777" w:rsidR="0036580D" w:rsidRDefault="00460739">
      <w:pPr>
        <w:pStyle w:val="Textoindependiente"/>
        <w:spacing w:before="101" w:line="276" w:lineRule="auto"/>
        <w:ind w:left="950" w:right="233"/>
        <w:jc w:val="both"/>
        <w:rPr>
          <w:b/>
        </w:rPr>
      </w:pPr>
      <w:r>
        <w:t xml:space="preserve">sociedad se expone a ser sólo un observador </w:t>
      </w:r>
      <w:r>
        <w:rPr>
          <w:spacing w:val="-3"/>
        </w:rPr>
        <w:t xml:space="preserve">más </w:t>
      </w:r>
      <w:r>
        <w:t xml:space="preserve">frente a su gobierno; si </w:t>
      </w:r>
      <w:r>
        <w:t>los miembros de la sociedad no pueden ejercer un adecuado control operativo, presupuestario o financiero, y éste se deja exclusivamente en manos de órganos de control interno o extern</w:t>
      </w:r>
      <w:r>
        <w:t xml:space="preserve">o, o si la ciudadanía no puede aportar sus conocimientos a la prestación, mejora e innovación de servicios públicos, se corre el riesgo de que los gobiernos se perciban ilegítimos; en este sentido, </w:t>
      </w:r>
      <w:r>
        <w:rPr>
          <w:b/>
        </w:rPr>
        <w:t xml:space="preserve">un gobierno democrático debe ser sensible a los </w:t>
      </w:r>
      <w:r>
        <w:rPr>
          <w:b/>
        </w:rPr>
        <w:t xml:space="preserve">problemas </w:t>
      </w:r>
      <w:r>
        <w:rPr>
          <w:b/>
        </w:rPr>
        <w:t>y necesidades de los ciudadanos y estar abierto a que todos expresen su opinión públicamente.</w:t>
      </w:r>
    </w:p>
    <w:p w14:paraId="532ADF4E" w14:textId="77777777" w:rsidR="0036580D" w:rsidRDefault="0036580D">
      <w:pPr>
        <w:pStyle w:val="Textoindependiente"/>
        <w:spacing w:before="5"/>
        <w:rPr>
          <w:b/>
          <w:sz w:val="25"/>
        </w:rPr>
      </w:pPr>
    </w:p>
    <w:p w14:paraId="2EC5993D" w14:textId="77777777" w:rsidR="0036580D" w:rsidRDefault="00460739">
      <w:pPr>
        <w:pStyle w:val="Textoindependiente"/>
        <w:spacing w:before="1" w:line="276" w:lineRule="auto"/>
        <w:ind w:left="950" w:right="232"/>
        <w:jc w:val="both"/>
      </w:pPr>
      <w:r>
        <w:t xml:space="preserve">La transparencia y la rendición de cuentas son piezas fundamentales para </w:t>
      </w:r>
      <w:r>
        <w:t>la construcción de un Estado democrático, porque contribuyen a que la ciudadanía aumente</w:t>
      </w:r>
      <w:r>
        <w:t xml:space="preserve"> su confianza en las autoridades; estos 2 elementos, </w:t>
      </w:r>
      <w:r>
        <w:rPr>
          <w:b/>
        </w:rPr>
        <w:t xml:space="preserve">sumados a la participación ciudadana </w:t>
      </w:r>
      <w:r>
        <w:t xml:space="preserve">y a las tecnologías de la </w:t>
      </w:r>
      <w:r>
        <w:t xml:space="preserve">información, conforman los </w:t>
      </w:r>
      <w:r>
        <w:rPr>
          <w:b/>
        </w:rPr>
        <w:t xml:space="preserve">4 pilares del Gobierno Abierto </w:t>
      </w:r>
      <w:r>
        <w:t xml:space="preserve">—un nuevo </w:t>
      </w:r>
      <w:r>
        <w:t>modelo de relación entre gobierno y sociedad— donde las instituciones promueven el diálogo constante con la población para que sus necesidades, demandas, opiniones e inquietudes sean la base para la creación colaborativa de políticas públicas.</w:t>
      </w:r>
    </w:p>
    <w:p w14:paraId="6D949432" w14:textId="77777777" w:rsidR="0036580D" w:rsidRDefault="0036580D">
      <w:pPr>
        <w:pStyle w:val="Textoindependiente"/>
        <w:rPr>
          <w:sz w:val="26"/>
        </w:rPr>
      </w:pPr>
    </w:p>
    <w:p w14:paraId="78063699" w14:textId="77777777" w:rsidR="0036580D" w:rsidRDefault="0036580D">
      <w:pPr>
        <w:pStyle w:val="Textoindependiente"/>
        <w:spacing w:before="10"/>
        <w:rPr>
          <w:sz w:val="28"/>
        </w:rPr>
      </w:pPr>
    </w:p>
    <w:p w14:paraId="21699647" w14:textId="77777777" w:rsidR="0036580D" w:rsidRDefault="00460739">
      <w:pPr>
        <w:pStyle w:val="Ttulo1"/>
        <w:spacing w:line="276" w:lineRule="auto"/>
        <w:ind w:left="100" w:right="234"/>
      </w:pPr>
      <w:r>
        <w:rPr>
          <w:b/>
        </w:rPr>
        <w:t xml:space="preserve">VI.- </w:t>
      </w:r>
      <w:r>
        <w:t>El pa</w:t>
      </w:r>
      <w:r>
        <w:t xml:space="preserve">sado 23 de </w:t>
      </w:r>
      <w:proofErr w:type="gramStart"/>
      <w:r>
        <w:t>Junio</w:t>
      </w:r>
      <w:proofErr w:type="gramEnd"/>
      <w:r>
        <w:t xml:space="preserve"> del presente la </w:t>
      </w:r>
      <w:r>
        <w:rPr>
          <w:b/>
        </w:rPr>
        <w:t>Comisión de Organizaciones No Gubernamentales</w:t>
      </w:r>
      <w:r>
        <w:t>, aprobó el Acuerdo por virtud del cual solicita a la Junta de Gobierno y Coordinación Política emita la Convocatoria para realizar “Sesión de Parlamento Abierto”, lo anterior co</w:t>
      </w:r>
      <w:r>
        <w:t>n la finalidad de generar la participación ciudadana en el proceso legislativo de este H. Congreso del Estado.</w:t>
      </w:r>
    </w:p>
    <w:p w14:paraId="6AB6DDA9" w14:textId="77777777" w:rsidR="0036580D" w:rsidRDefault="0036580D">
      <w:pPr>
        <w:pStyle w:val="Textoindependiente"/>
        <w:spacing w:before="7"/>
        <w:rPr>
          <w:i w:val="0"/>
          <w:sz w:val="27"/>
        </w:rPr>
      </w:pPr>
    </w:p>
    <w:p w14:paraId="04627B42" w14:textId="77777777" w:rsidR="0036580D" w:rsidRDefault="00460739">
      <w:pPr>
        <w:ind w:left="100"/>
        <w:jc w:val="both"/>
        <w:rPr>
          <w:sz w:val="24"/>
        </w:rPr>
      </w:pPr>
      <w:r>
        <w:rPr>
          <w:sz w:val="24"/>
        </w:rPr>
        <w:t xml:space="preserve">Dicha propuesta aprobada por la Comisión </w:t>
      </w:r>
      <w:proofErr w:type="gramStart"/>
      <w:r>
        <w:rPr>
          <w:sz w:val="24"/>
        </w:rPr>
        <w:t>referida,</w:t>
      </w:r>
      <w:proofErr w:type="gramEnd"/>
      <w:r>
        <w:rPr>
          <w:sz w:val="24"/>
        </w:rPr>
        <w:t xml:space="preserve"> señala:</w:t>
      </w:r>
    </w:p>
    <w:p w14:paraId="511F44CE" w14:textId="77777777" w:rsidR="0036580D" w:rsidRDefault="00460739">
      <w:pPr>
        <w:pStyle w:val="Textoindependiente"/>
        <w:spacing w:before="45" w:line="276" w:lineRule="auto"/>
        <w:ind w:left="950" w:right="233"/>
        <w:jc w:val="both"/>
      </w:pPr>
      <w:proofErr w:type="gramStart"/>
      <w:r>
        <w:t>Que</w:t>
      </w:r>
      <w:proofErr w:type="gramEnd"/>
      <w:r>
        <w:t xml:space="preserve"> con motivo de fomentar y mejorar la interacción con la ciudadanía, se </w:t>
      </w:r>
      <w:r>
        <w:t>invita a la</w:t>
      </w:r>
      <w:r>
        <w:t xml:space="preserve">s Organizaciones de la Sociedad Civil y a los Grupos de Interés a participar ampliamente en el proceso de planeación y elaboración de leyes, así como en la toma de decisiones públicas, por ello, el Honorable Congreso del Estado Libre y Soberano de Puebla, </w:t>
      </w:r>
      <w:r>
        <w:t>Organiza una Sesión Virtual de Parlamento Abierto.</w:t>
      </w:r>
    </w:p>
    <w:p w14:paraId="379F64A9" w14:textId="77777777" w:rsidR="0036580D" w:rsidRDefault="00460739">
      <w:pPr>
        <w:pStyle w:val="Textoindependiente"/>
        <w:spacing w:before="2" w:line="276" w:lineRule="auto"/>
        <w:ind w:left="950" w:right="239"/>
        <w:jc w:val="both"/>
      </w:pPr>
      <w:r>
        <w:t xml:space="preserve">El Parlamento Abierto es un proceso de </w:t>
      </w:r>
      <w:proofErr w:type="spellStart"/>
      <w:r>
        <w:t>cocreación</w:t>
      </w:r>
      <w:proofErr w:type="spellEnd"/>
      <w:r>
        <w:t xml:space="preserve"> que permite a los </w:t>
      </w:r>
      <w:r>
        <w:t>Congresos y sociedad civil identificar prioridades para implementar, monitorear y evaluar el progreso hacia estos compromisos.</w:t>
      </w:r>
    </w:p>
    <w:p w14:paraId="78E5685B" w14:textId="77777777" w:rsidR="0036580D" w:rsidRDefault="00460739">
      <w:pPr>
        <w:pStyle w:val="Textoindependiente"/>
        <w:spacing w:line="258" w:lineRule="exact"/>
        <w:ind w:left="950"/>
        <w:jc w:val="both"/>
      </w:pPr>
      <w:r>
        <w:t>Que</w:t>
      </w:r>
      <w:r>
        <w:rPr>
          <w:spacing w:val="52"/>
        </w:rPr>
        <w:t xml:space="preserve"> </w:t>
      </w:r>
      <w:r>
        <w:t>este</w:t>
      </w:r>
      <w:r>
        <w:rPr>
          <w:spacing w:val="54"/>
        </w:rPr>
        <w:t xml:space="preserve"> </w:t>
      </w:r>
      <w:r>
        <w:t>e</w:t>
      </w:r>
      <w:r>
        <w:t>jercicio</w:t>
      </w:r>
      <w:r>
        <w:rPr>
          <w:spacing w:val="55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convierte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un</w:t>
      </w:r>
      <w:r>
        <w:rPr>
          <w:spacing w:val="54"/>
        </w:rPr>
        <w:t xml:space="preserve"> </w:t>
      </w:r>
      <w:r>
        <w:t>espacio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ciudadanos</w:t>
      </w:r>
    </w:p>
    <w:p w14:paraId="13E15768" w14:textId="77777777" w:rsidR="0036580D" w:rsidRDefault="0036580D">
      <w:pPr>
        <w:spacing w:line="258" w:lineRule="exact"/>
        <w:jc w:val="both"/>
        <w:sectPr w:rsidR="0036580D">
          <w:pgSz w:w="12240" w:h="15840"/>
          <w:pgMar w:top="2340" w:right="1580" w:bottom="280" w:left="1460" w:header="427" w:footer="0" w:gutter="0"/>
          <w:cols w:space="720"/>
        </w:sectPr>
      </w:pPr>
    </w:p>
    <w:p w14:paraId="46E2FD6F" w14:textId="77777777" w:rsidR="0036580D" w:rsidRDefault="0036580D">
      <w:pPr>
        <w:pStyle w:val="Textoindependiente"/>
        <w:spacing w:before="4"/>
        <w:rPr>
          <w:sz w:val="12"/>
        </w:rPr>
      </w:pPr>
    </w:p>
    <w:p w14:paraId="0D215E33" w14:textId="77777777" w:rsidR="0036580D" w:rsidRDefault="00460739">
      <w:pPr>
        <w:pStyle w:val="Textoindependiente"/>
        <w:spacing w:before="101" w:line="276" w:lineRule="auto"/>
        <w:ind w:left="950" w:right="234"/>
        <w:jc w:val="both"/>
      </w:pPr>
      <w:r>
        <w:t xml:space="preserve">pueden analizar, debatir y deliberar con respeto y pluralidad temas de su </w:t>
      </w:r>
      <w:r>
        <w:t>interés dentro de un esquema de organización como el que se ha implementado en el Poder Legislativo Federal.</w:t>
      </w:r>
    </w:p>
    <w:p w14:paraId="542779F5" w14:textId="77777777" w:rsidR="0036580D" w:rsidRDefault="0036580D">
      <w:pPr>
        <w:pStyle w:val="Textoindependiente"/>
        <w:rPr>
          <w:sz w:val="26"/>
        </w:rPr>
      </w:pPr>
    </w:p>
    <w:p w14:paraId="097E8506" w14:textId="77777777" w:rsidR="0036580D" w:rsidRDefault="0036580D">
      <w:pPr>
        <w:pStyle w:val="Textoindependiente"/>
        <w:spacing w:before="4"/>
        <w:rPr>
          <w:sz w:val="35"/>
        </w:rPr>
      </w:pPr>
    </w:p>
    <w:p w14:paraId="55C1E290" w14:textId="77777777" w:rsidR="0036580D" w:rsidRDefault="00460739">
      <w:pPr>
        <w:pStyle w:val="Ttulo1"/>
        <w:spacing w:line="276" w:lineRule="auto"/>
        <w:ind w:right="232"/>
      </w:pPr>
      <w:r>
        <w:rPr>
          <w:b/>
        </w:rPr>
        <w:t xml:space="preserve">VII.- </w:t>
      </w:r>
      <w:r>
        <w:t>Recientemente se han presentado en este H. Congreso del Estado, distintas iniciativas que proponen Reformas en materia electoral en diverso</w:t>
      </w:r>
      <w:r>
        <w:t>s cuerpos normativos. Propuestas que habrán de impactar en el próximo proceso electoral en nuestra entidad.</w:t>
      </w:r>
    </w:p>
    <w:p w14:paraId="0A1D8EAD" w14:textId="77777777" w:rsidR="0036580D" w:rsidRDefault="0036580D">
      <w:pPr>
        <w:pStyle w:val="Textoindependiente"/>
        <w:rPr>
          <w:i w:val="0"/>
          <w:sz w:val="28"/>
        </w:rPr>
      </w:pPr>
    </w:p>
    <w:p w14:paraId="2AF72697" w14:textId="77777777" w:rsidR="0036580D" w:rsidRDefault="0036580D">
      <w:pPr>
        <w:pStyle w:val="Textoindependiente"/>
        <w:spacing w:before="4"/>
        <w:rPr>
          <w:i w:val="0"/>
          <w:sz w:val="33"/>
        </w:rPr>
      </w:pPr>
    </w:p>
    <w:p w14:paraId="66903AFB" w14:textId="77777777" w:rsidR="0036580D" w:rsidRDefault="00460739">
      <w:pPr>
        <w:spacing w:before="1" w:line="276" w:lineRule="auto"/>
        <w:ind w:left="242" w:right="233"/>
        <w:jc w:val="both"/>
        <w:rPr>
          <w:sz w:val="24"/>
        </w:rPr>
      </w:pPr>
      <w:r>
        <w:rPr>
          <w:sz w:val="24"/>
        </w:rPr>
        <w:t>Por lo anterior referido y ante la importancia del tema electoral, el cual es base para la participación ciudadana en la elección de cargos popula</w:t>
      </w:r>
      <w:r>
        <w:rPr>
          <w:sz w:val="24"/>
        </w:rPr>
        <w:t>res presento a esta Soberanía el siguiente:</w:t>
      </w:r>
    </w:p>
    <w:p w14:paraId="46339E01" w14:textId="77777777" w:rsidR="0036580D" w:rsidRDefault="0036580D">
      <w:pPr>
        <w:pStyle w:val="Textoindependiente"/>
        <w:rPr>
          <w:i w:val="0"/>
          <w:sz w:val="28"/>
        </w:rPr>
      </w:pPr>
    </w:p>
    <w:p w14:paraId="454158A4" w14:textId="77777777" w:rsidR="0036580D" w:rsidRDefault="0036580D">
      <w:pPr>
        <w:pStyle w:val="Textoindependiente"/>
        <w:rPr>
          <w:i w:val="0"/>
          <w:sz w:val="28"/>
        </w:rPr>
      </w:pPr>
    </w:p>
    <w:p w14:paraId="76F261F8" w14:textId="77777777" w:rsidR="0036580D" w:rsidRDefault="00460739">
      <w:pPr>
        <w:spacing w:before="187"/>
        <w:ind w:left="1472" w:right="1351"/>
        <w:jc w:val="center"/>
        <w:rPr>
          <w:b/>
          <w:sz w:val="24"/>
        </w:rPr>
      </w:pPr>
      <w:r>
        <w:rPr>
          <w:b/>
          <w:sz w:val="24"/>
        </w:rPr>
        <w:t>PUNTO DE ACUERDO</w:t>
      </w:r>
    </w:p>
    <w:p w14:paraId="4BA5517E" w14:textId="77777777" w:rsidR="0036580D" w:rsidRDefault="0036580D">
      <w:pPr>
        <w:pStyle w:val="Textoindependiente"/>
        <w:spacing w:before="3"/>
        <w:rPr>
          <w:b/>
          <w:i w:val="0"/>
          <w:sz w:val="31"/>
        </w:rPr>
      </w:pPr>
    </w:p>
    <w:p w14:paraId="203425EB" w14:textId="77777777" w:rsidR="0036580D" w:rsidRDefault="00460739">
      <w:pPr>
        <w:spacing w:line="276" w:lineRule="auto"/>
        <w:ind w:left="242" w:right="114"/>
        <w:jc w:val="both"/>
        <w:rPr>
          <w:sz w:val="24"/>
        </w:rPr>
      </w:pPr>
      <w:proofErr w:type="gramStart"/>
      <w:r>
        <w:rPr>
          <w:b/>
          <w:sz w:val="24"/>
        </w:rPr>
        <w:t>UNICO.-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Se exhorta de la manera más atenta y respetuosa a la Comisión de Gobernación y Puntos Constitucionales de este H. Congreso del Estado a que lleve a cabo un Parlamento Abierto para la discusión de las distintas iniciativas de Reforma Electoral presentadas a</w:t>
      </w:r>
      <w:r>
        <w:rPr>
          <w:sz w:val="24"/>
        </w:rPr>
        <w:t>nte tal</w:t>
      </w:r>
      <w:r>
        <w:rPr>
          <w:spacing w:val="-8"/>
          <w:sz w:val="24"/>
        </w:rPr>
        <w:t xml:space="preserve"> </w:t>
      </w:r>
      <w:r>
        <w:rPr>
          <w:sz w:val="24"/>
        </w:rPr>
        <w:t>Comisión.</w:t>
      </w:r>
    </w:p>
    <w:p w14:paraId="0B9F655E" w14:textId="77777777" w:rsidR="0036580D" w:rsidRDefault="0036580D">
      <w:pPr>
        <w:pStyle w:val="Textoindependiente"/>
        <w:rPr>
          <w:i w:val="0"/>
          <w:sz w:val="28"/>
        </w:rPr>
      </w:pPr>
    </w:p>
    <w:p w14:paraId="7D007513" w14:textId="77777777" w:rsidR="0036580D" w:rsidRDefault="0036580D">
      <w:pPr>
        <w:pStyle w:val="Textoindependiente"/>
        <w:spacing w:before="2"/>
        <w:rPr>
          <w:i w:val="0"/>
          <w:sz w:val="27"/>
        </w:rPr>
      </w:pPr>
    </w:p>
    <w:p w14:paraId="1598675F" w14:textId="77777777" w:rsidR="0036580D" w:rsidRDefault="00460739">
      <w:pPr>
        <w:ind w:left="1472" w:right="1351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E49A04B" wp14:editId="699755E1">
            <wp:simplePos x="0" y="0"/>
            <wp:positionH relativeFrom="page">
              <wp:posOffset>1936114</wp:posOffset>
            </wp:positionH>
            <wp:positionV relativeFrom="paragraph">
              <wp:posOffset>105225</wp:posOffset>
            </wp:positionV>
            <wp:extent cx="4059174" cy="2463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174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 T E N T A M E N T E</w:t>
      </w:r>
    </w:p>
    <w:p w14:paraId="12C25898" w14:textId="77777777" w:rsidR="0036580D" w:rsidRDefault="00460739">
      <w:pPr>
        <w:spacing w:before="201" w:line="412" w:lineRule="auto"/>
        <w:ind w:left="1473" w:right="1351"/>
        <w:jc w:val="center"/>
        <w:rPr>
          <w:b/>
          <w:sz w:val="24"/>
        </w:rPr>
      </w:pPr>
      <w:r>
        <w:rPr>
          <w:b/>
          <w:sz w:val="24"/>
        </w:rPr>
        <w:t>CUATRO VECES HEROICA PUEBLA DE ZARAGOZA; 07 DE JULIO DE 2020</w:t>
      </w:r>
    </w:p>
    <w:p w14:paraId="44CD71B8" w14:textId="77777777" w:rsidR="0036580D" w:rsidRDefault="0036580D">
      <w:pPr>
        <w:pStyle w:val="Textoindependiente"/>
        <w:rPr>
          <w:b/>
          <w:i w:val="0"/>
          <w:sz w:val="28"/>
        </w:rPr>
      </w:pPr>
    </w:p>
    <w:p w14:paraId="18908A05" w14:textId="77777777" w:rsidR="0036580D" w:rsidRDefault="0036580D">
      <w:pPr>
        <w:pStyle w:val="Textoindependiente"/>
        <w:rPr>
          <w:b/>
          <w:i w:val="0"/>
          <w:sz w:val="28"/>
        </w:rPr>
      </w:pPr>
    </w:p>
    <w:p w14:paraId="7C0BA40D" w14:textId="77777777" w:rsidR="0036580D" w:rsidRDefault="0036580D">
      <w:pPr>
        <w:pStyle w:val="Textoindependiente"/>
        <w:spacing w:before="6"/>
        <w:rPr>
          <w:b/>
          <w:i w:val="0"/>
          <w:sz w:val="26"/>
        </w:rPr>
      </w:pPr>
    </w:p>
    <w:p w14:paraId="65A17670" w14:textId="77777777" w:rsidR="0036580D" w:rsidRDefault="00460739">
      <w:pPr>
        <w:ind w:left="1471" w:right="1351"/>
        <w:jc w:val="center"/>
        <w:rPr>
          <w:b/>
          <w:sz w:val="24"/>
        </w:rPr>
      </w:pPr>
      <w:r>
        <w:rPr>
          <w:b/>
          <w:sz w:val="24"/>
        </w:rPr>
        <w:t>DIP. GABRIEL OSWALDO JIMÉNEZ LÓPEZ</w:t>
      </w:r>
    </w:p>
    <w:sectPr w:rsidR="0036580D">
      <w:pgSz w:w="12240" w:h="15840"/>
      <w:pgMar w:top="2340" w:right="1580" w:bottom="280" w:left="146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43A96" w14:textId="77777777" w:rsidR="00460739" w:rsidRDefault="00460739">
      <w:r>
        <w:separator/>
      </w:r>
    </w:p>
  </w:endnote>
  <w:endnote w:type="continuationSeparator" w:id="0">
    <w:p w14:paraId="66AEFC09" w14:textId="77777777" w:rsidR="00460739" w:rsidRDefault="0046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3DEBE" w14:textId="77777777" w:rsidR="00460739" w:rsidRDefault="00460739">
      <w:r>
        <w:separator/>
      </w:r>
    </w:p>
  </w:footnote>
  <w:footnote w:type="continuationSeparator" w:id="0">
    <w:p w14:paraId="6372DB69" w14:textId="77777777" w:rsidR="00460739" w:rsidRDefault="0046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620A0" w14:textId="77777777" w:rsidR="0036580D" w:rsidRDefault="00460739">
    <w:pPr>
      <w:pStyle w:val="Textoindependiente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516672" behindDoc="1" locked="0" layoutInCell="1" allowOverlap="1" wp14:anchorId="68D309D3" wp14:editId="032CDA45">
          <wp:simplePos x="0" y="0"/>
          <wp:positionH relativeFrom="page">
            <wp:posOffset>2396074</wp:posOffset>
          </wp:positionH>
          <wp:positionV relativeFrom="page">
            <wp:posOffset>271272</wp:posOffset>
          </wp:positionV>
          <wp:extent cx="2917522" cy="12209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17522" cy="1220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90A7F"/>
    <w:multiLevelType w:val="multilevel"/>
    <w:tmpl w:val="35A2F146"/>
    <w:lvl w:ilvl="0">
      <w:start w:val="16"/>
      <w:numFmt w:val="decimal"/>
      <w:lvlText w:val="%1"/>
      <w:lvlJc w:val="left"/>
      <w:pPr>
        <w:ind w:left="950" w:hanging="749"/>
        <w:jc w:val="left"/>
      </w:pPr>
      <w:rPr>
        <w:rFonts w:hint="default"/>
        <w:lang w:val="es-ES" w:eastAsia="en-US" w:bidi="ar-SA"/>
      </w:rPr>
    </w:lvl>
    <w:lvl w:ilvl="1">
      <w:start w:val="6"/>
      <w:numFmt w:val="decimal"/>
      <w:lvlText w:val="%1.%2"/>
      <w:lvlJc w:val="left"/>
      <w:pPr>
        <w:ind w:left="950" w:hanging="749"/>
        <w:jc w:val="left"/>
      </w:pPr>
      <w:rPr>
        <w:rFonts w:ascii="Bookman Old Style" w:eastAsia="Bookman Old Style" w:hAnsi="Bookman Old Style" w:cs="Bookman Old Style" w:hint="default"/>
        <w:i/>
        <w:spacing w:val="-14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08" w:hanging="74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32" w:hanging="74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6" w:hanging="74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80" w:hanging="74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04" w:hanging="74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28" w:hanging="74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52" w:hanging="749"/>
      </w:pPr>
      <w:rPr>
        <w:rFonts w:hint="default"/>
        <w:lang w:val="es-ES" w:eastAsia="en-US" w:bidi="ar-SA"/>
      </w:rPr>
    </w:lvl>
  </w:abstractNum>
  <w:abstractNum w:abstractNumId="1" w15:restartNumberingAfterBreak="0">
    <w:nsid w:val="5C033415"/>
    <w:multiLevelType w:val="hybridMultilevel"/>
    <w:tmpl w:val="A7D89006"/>
    <w:lvl w:ilvl="0" w:tplc="DEA05BC6">
      <w:start w:val="3"/>
      <w:numFmt w:val="upperLetter"/>
      <w:lvlText w:val="%1"/>
      <w:lvlJc w:val="left"/>
      <w:pPr>
        <w:ind w:left="242" w:hanging="601"/>
        <w:jc w:val="left"/>
      </w:pPr>
      <w:rPr>
        <w:rFonts w:hint="default"/>
        <w:lang w:val="es-ES" w:eastAsia="en-US" w:bidi="ar-SA"/>
      </w:rPr>
    </w:lvl>
    <w:lvl w:ilvl="1" w:tplc="1C786EBA">
      <w:start w:val="1"/>
      <w:numFmt w:val="lowerLetter"/>
      <w:lvlText w:val="%2)"/>
      <w:lvlJc w:val="left"/>
      <w:pPr>
        <w:ind w:left="962" w:hanging="437"/>
        <w:jc w:val="left"/>
      </w:pPr>
      <w:rPr>
        <w:rFonts w:ascii="Bookman Old Style" w:eastAsia="Bookman Old Style" w:hAnsi="Bookman Old Style" w:cs="Bookman Old Style" w:hint="default"/>
        <w:spacing w:val="-39"/>
        <w:w w:val="100"/>
        <w:sz w:val="24"/>
        <w:szCs w:val="24"/>
        <w:lang w:val="es-ES" w:eastAsia="en-US" w:bidi="ar-SA"/>
      </w:rPr>
    </w:lvl>
    <w:lvl w:ilvl="2" w:tplc="5438796E">
      <w:numFmt w:val="bullet"/>
      <w:lvlText w:val="•"/>
      <w:lvlJc w:val="left"/>
      <w:pPr>
        <w:ind w:left="1875" w:hanging="437"/>
      </w:pPr>
      <w:rPr>
        <w:rFonts w:hint="default"/>
        <w:lang w:val="es-ES" w:eastAsia="en-US" w:bidi="ar-SA"/>
      </w:rPr>
    </w:lvl>
    <w:lvl w:ilvl="3" w:tplc="F1BEB820">
      <w:numFmt w:val="bullet"/>
      <w:lvlText w:val="•"/>
      <w:lvlJc w:val="left"/>
      <w:pPr>
        <w:ind w:left="2791" w:hanging="437"/>
      </w:pPr>
      <w:rPr>
        <w:rFonts w:hint="default"/>
        <w:lang w:val="es-ES" w:eastAsia="en-US" w:bidi="ar-SA"/>
      </w:rPr>
    </w:lvl>
    <w:lvl w:ilvl="4" w:tplc="15E2E60E">
      <w:numFmt w:val="bullet"/>
      <w:lvlText w:val="•"/>
      <w:lvlJc w:val="left"/>
      <w:pPr>
        <w:ind w:left="3706" w:hanging="437"/>
      </w:pPr>
      <w:rPr>
        <w:rFonts w:hint="default"/>
        <w:lang w:val="es-ES" w:eastAsia="en-US" w:bidi="ar-SA"/>
      </w:rPr>
    </w:lvl>
    <w:lvl w:ilvl="5" w:tplc="6B1A3F56">
      <w:numFmt w:val="bullet"/>
      <w:lvlText w:val="•"/>
      <w:lvlJc w:val="left"/>
      <w:pPr>
        <w:ind w:left="4622" w:hanging="437"/>
      </w:pPr>
      <w:rPr>
        <w:rFonts w:hint="default"/>
        <w:lang w:val="es-ES" w:eastAsia="en-US" w:bidi="ar-SA"/>
      </w:rPr>
    </w:lvl>
    <w:lvl w:ilvl="6" w:tplc="2B3299DA">
      <w:numFmt w:val="bullet"/>
      <w:lvlText w:val="•"/>
      <w:lvlJc w:val="left"/>
      <w:pPr>
        <w:ind w:left="5537" w:hanging="437"/>
      </w:pPr>
      <w:rPr>
        <w:rFonts w:hint="default"/>
        <w:lang w:val="es-ES" w:eastAsia="en-US" w:bidi="ar-SA"/>
      </w:rPr>
    </w:lvl>
    <w:lvl w:ilvl="7" w:tplc="A4CA4520">
      <w:numFmt w:val="bullet"/>
      <w:lvlText w:val="•"/>
      <w:lvlJc w:val="left"/>
      <w:pPr>
        <w:ind w:left="6453" w:hanging="437"/>
      </w:pPr>
      <w:rPr>
        <w:rFonts w:hint="default"/>
        <w:lang w:val="es-ES" w:eastAsia="en-US" w:bidi="ar-SA"/>
      </w:rPr>
    </w:lvl>
    <w:lvl w:ilvl="8" w:tplc="69A44C90">
      <w:numFmt w:val="bullet"/>
      <w:lvlText w:val="•"/>
      <w:lvlJc w:val="left"/>
      <w:pPr>
        <w:ind w:left="7368" w:hanging="437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0D"/>
    <w:rsid w:val="002F5C84"/>
    <w:rsid w:val="0036580D"/>
    <w:rsid w:val="004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30D3"/>
  <w15:docId w15:val="{A916D956-AA37-4D73-8B4C-E5682D4A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paragraph" w:styleId="Ttulo1">
    <w:name w:val="heading 1"/>
    <w:basedOn w:val="Normal"/>
    <w:uiPriority w:val="9"/>
    <w:qFormat/>
    <w:pPr>
      <w:ind w:left="242" w:right="1351"/>
      <w:jc w:val="both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  <w:pPr>
      <w:ind w:left="95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1691</Words>
  <Characters>9304</Characters>
  <Application>Microsoft Office Word</Application>
  <DocSecurity>0</DocSecurity>
  <Lines>77</Lines>
  <Paragraphs>21</Paragraphs>
  <ScaleCrop>false</ScaleCrop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22</dc:creator>
  <cp:lastModifiedBy>Silvia Pérez</cp:lastModifiedBy>
  <cp:revision>2</cp:revision>
  <dcterms:created xsi:type="dcterms:W3CDTF">2020-07-07T19:48:00Z</dcterms:created>
  <dcterms:modified xsi:type="dcterms:W3CDTF">2020-07-07T19:48:00Z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2020-07-07T00:00:00Z</vt:filetime>
  </property>
</Properties>
</file>