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B4FC" w14:textId="3629E88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94981">
        <w:rPr>
          <w:rFonts w:ascii="Tahoma" w:hAnsi="Tahoma" w:cs="Tahoma"/>
          <w:sz w:val="20"/>
          <w:szCs w:val="20"/>
        </w:rPr>
        <w:t>13 de diciembre</w:t>
      </w:r>
      <w:r w:rsidR="007E273B">
        <w:rPr>
          <w:rFonts w:ascii="Tahoma" w:hAnsi="Tahoma" w:cs="Tahoma"/>
          <w:sz w:val="20"/>
          <w:szCs w:val="20"/>
        </w:rPr>
        <w:t xml:space="preserve"> </w:t>
      </w:r>
      <w:r w:rsidR="00EE4CE5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54EA7">
        <w:rPr>
          <w:rFonts w:ascii="Tahoma" w:hAnsi="Tahoma" w:cs="Tahoma"/>
          <w:sz w:val="20"/>
          <w:szCs w:val="20"/>
          <w:lang w:val="es-MX"/>
        </w:rPr>
        <w:t>9</w:t>
      </w:r>
    </w:p>
    <w:p w14:paraId="3864FB8B" w14:textId="7C2A27CB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7E273B">
        <w:rPr>
          <w:rFonts w:ascii="Tahoma" w:hAnsi="Tahoma" w:cs="Tahoma"/>
          <w:sz w:val="20"/>
          <w:szCs w:val="20"/>
        </w:rPr>
        <w:t>Sala “</w:t>
      </w:r>
      <w:r w:rsidR="00D94981">
        <w:rPr>
          <w:rFonts w:ascii="Tahoma" w:hAnsi="Tahoma" w:cs="Tahoma"/>
          <w:sz w:val="20"/>
          <w:szCs w:val="20"/>
        </w:rPr>
        <w:t>Esperanza Ramos Rodríguez</w:t>
      </w:r>
      <w:r w:rsidR="007E273B">
        <w:rPr>
          <w:rFonts w:ascii="Tahoma" w:hAnsi="Tahoma" w:cs="Tahoma"/>
          <w:sz w:val="20"/>
          <w:szCs w:val="20"/>
        </w:rPr>
        <w:t>”</w:t>
      </w:r>
      <w:r w:rsidR="00E60959">
        <w:rPr>
          <w:rFonts w:ascii="Tahoma" w:hAnsi="Tahoma" w:cs="Tahoma"/>
          <w:sz w:val="20"/>
          <w:szCs w:val="20"/>
        </w:rPr>
        <w:t xml:space="preserve"> </w:t>
      </w:r>
      <w:r w:rsidR="00D94981">
        <w:rPr>
          <w:rFonts w:ascii="Tahoma" w:hAnsi="Tahoma" w:cs="Tahoma"/>
          <w:sz w:val="20"/>
          <w:szCs w:val="20"/>
        </w:rPr>
        <w:t>1</w:t>
      </w:r>
      <w:r w:rsidR="006B351C">
        <w:rPr>
          <w:rFonts w:ascii="Tahoma" w:hAnsi="Tahoma" w:cs="Tahoma"/>
          <w:sz w:val="20"/>
          <w:szCs w:val="20"/>
        </w:rPr>
        <w:t>1</w:t>
      </w:r>
      <w:r w:rsidR="00E60959">
        <w:rPr>
          <w:rFonts w:ascii="Tahoma" w:hAnsi="Tahoma" w:cs="Tahoma"/>
          <w:sz w:val="20"/>
          <w:szCs w:val="20"/>
        </w:rPr>
        <w:t>:</w:t>
      </w:r>
      <w:r w:rsidR="006B351C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1512CEBA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D917723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0942AB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9E63BF9" w14:textId="15D02FE5" w:rsidR="00C576D8" w:rsidRDefault="00C576D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484B6F8" w14:textId="63B4DC8C" w:rsidR="00605AC9" w:rsidRDefault="00605AC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C7DE2A4" w14:textId="746C8A1D" w:rsidR="0097084F" w:rsidRDefault="0097084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2FB60E4" w14:textId="77777777" w:rsidR="0097084F" w:rsidRPr="007B058A" w:rsidRDefault="0097084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26BE8E9" w14:textId="77777777" w:rsidR="00834570" w:rsidRPr="00C576D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C576D8">
        <w:rPr>
          <w:rFonts w:ascii="Tahoma" w:eastAsiaTheme="minorHAnsi" w:hAnsi="Tahoma" w:cs="Tahoma"/>
          <w:b/>
          <w:lang w:val="es-US" w:eastAsia="en-US"/>
        </w:rPr>
        <w:t>1.-</w:t>
      </w:r>
      <w:r w:rsidRPr="00C576D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C576D8">
        <w:rPr>
          <w:rFonts w:ascii="Tahoma" w:eastAsiaTheme="minorHAnsi" w:hAnsi="Tahoma" w:cs="Tahoma"/>
          <w:lang w:eastAsia="en-US"/>
        </w:rPr>
        <w:tab/>
      </w:r>
    </w:p>
    <w:p w14:paraId="6D9B0BF9" w14:textId="77777777" w:rsidR="0097084F" w:rsidRDefault="0097084F" w:rsidP="00C576D8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5DB351DE" w14:textId="459C4798" w:rsidR="00DB7A7B" w:rsidRPr="00C576D8" w:rsidRDefault="00354EA7" w:rsidP="00C576D8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  <w:r w:rsidRPr="00C576D8">
        <w:rPr>
          <w:rFonts w:ascii="Tahoma" w:eastAsiaTheme="minorHAnsi" w:hAnsi="Tahoma" w:cs="Tahoma"/>
          <w:lang w:val="es-US" w:eastAsia="en-US"/>
        </w:rPr>
        <w:tab/>
      </w:r>
    </w:p>
    <w:p w14:paraId="6EDB5953" w14:textId="77777777" w:rsidR="00F1199A" w:rsidRPr="00C576D8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C576D8">
        <w:rPr>
          <w:rFonts w:ascii="Tahoma" w:eastAsiaTheme="minorHAnsi" w:hAnsi="Tahoma" w:cs="Tahoma"/>
          <w:b/>
          <w:lang w:val="es-US" w:eastAsia="en-US"/>
        </w:rPr>
        <w:t>2.-</w:t>
      </w:r>
      <w:r w:rsidRPr="00C576D8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15CC828F" w14:textId="429AC665" w:rsidR="00D94981" w:rsidRDefault="009F6FD3" w:rsidP="00F1199A">
      <w:pPr>
        <w:jc w:val="both"/>
        <w:rPr>
          <w:rFonts w:ascii="Tahoma" w:eastAsiaTheme="minorHAnsi" w:hAnsi="Tahoma" w:cs="Tahoma"/>
          <w:lang w:eastAsia="en-US"/>
        </w:rPr>
      </w:pPr>
      <w:r w:rsidRPr="00C576D8">
        <w:rPr>
          <w:rFonts w:ascii="Tahoma" w:eastAsiaTheme="minorHAnsi" w:hAnsi="Tahoma" w:cs="Tahoma"/>
          <w:lang w:eastAsia="en-US"/>
        </w:rPr>
        <w:tab/>
      </w:r>
    </w:p>
    <w:p w14:paraId="2E75A029" w14:textId="77777777" w:rsidR="0097084F" w:rsidRPr="00C576D8" w:rsidRDefault="0097084F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62EEBCEA" w14:textId="7943464F" w:rsidR="00D328A0" w:rsidRDefault="001A560F" w:rsidP="00147D9A">
      <w:pPr>
        <w:jc w:val="both"/>
        <w:rPr>
          <w:rFonts w:ascii="Tahoma" w:eastAsiaTheme="minorHAnsi" w:hAnsi="Tahoma" w:cs="Tahoma"/>
          <w:lang w:val="es-US" w:eastAsia="en-US"/>
        </w:rPr>
      </w:pPr>
      <w:r w:rsidRPr="00C576D8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C576D8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C576D8">
        <w:rPr>
          <w:rFonts w:ascii="Tahoma" w:eastAsiaTheme="minorHAnsi" w:hAnsi="Tahoma" w:cs="Tahoma"/>
          <w:lang w:val="es-US" w:eastAsia="en-US"/>
        </w:rPr>
        <w:t>Lectura del Acta de la reunión anterior, y en su caso, aprobación.</w:t>
      </w:r>
    </w:p>
    <w:p w14:paraId="24ED2DFA" w14:textId="718E1849" w:rsidR="00854943" w:rsidRDefault="00854943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00154F23" w14:textId="77777777" w:rsidR="0097084F" w:rsidRDefault="0097084F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1B2F7E93" w14:textId="443FE1FD" w:rsidR="00854943" w:rsidRPr="00854943" w:rsidRDefault="00854943" w:rsidP="00147D9A">
      <w:pPr>
        <w:jc w:val="both"/>
        <w:rPr>
          <w:rFonts w:ascii="Tahoma" w:eastAsiaTheme="minorHAnsi" w:hAnsi="Tahoma" w:cs="Tahoma"/>
          <w:b/>
          <w:bCs/>
          <w:lang w:val="es-US" w:eastAsia="en-US"/>
        </w:rPr>
      </w:pPr>
      <w:r w:rsidRPr="00854943">
        <w:rPr>
          <w:rFonts w:ascii="Tahoma" w:eastAsiaTheme="minorHAnsi" w:hAnsi="Tahoma" w:cs="Tahoma"/>
          <w:b/>
          <w:bCs/>
          <w:lang w:val="es-US" w:eastAsia="en-US"/>
        </w:rPr>
        <w:t>4.-</w:t>
      </w:r>
      <w:r>
        <w:rPr>
          <w:rFonts w:ascii="Tahoma" w:eastAsiaTheme="minorHAnsi" w:hAnsi="Tahoma" w:cs="Tahoma"/>
          <w:b/>
          <w:bCs/>
          <w:lang w:val="es-US" w:eastAsia="en-US"/>
        </w:rPr>
        <w:t xml:space="preserve"> </w:t>
      </w:r>
      <w:r w:rsidRPr="00854943">
        <w:rPr>
          <w:rFonts w:ascii="Tahoma" w:eastAsiaTheme="minorHAnsi" w:hAnsi="Tahoma" w:cs="Tahoma"/>
          <w:lang w:val="es-US" w:eastAsia="en-US"/>
        </w:rPr>
        <w:t>Presentación del Informe anual de actividades de la Comisión de Cultura.</w:t>
      </w:r>
    </w:p>
    <w:p w14:paraId="55E6CDBE" w14:textId="77777777" w:rsidR="0097084F" w:rsidRDefault="0097084F" w:rsidP="00D94981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F47C3E9" w14:textId="77777777" w:rsidR="0097084F" w:rsidRPr="00C576D8" w:rsidRDefault="0097084F" w:rsidP="00D94981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1960AA5" w14:textId="24976E80" w:rsidR="00D94981" w:rsidRPr="00C576D8" w:rsidRDefault="00854943" w:rsidP="00D94981">
      <w:pPr>
        <w:jc w:val="both"/>
        <w:rPr>
          <w:rFonts w:ascii="Tahoma" w:eastAsiaTheme="minorHAnsi" w:hAnsi="Tahoma" w:cs="Tahoma"/>
          <w:bCs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5</w:t>
      </w:r>
      <w:r w:rsidR="00D94981" w:rsidRPr="00C576D8">
        <w:rPr>
          <w:rFonts w:ascii="Tahoma" w:eastAsiaTheme="minorHAnsi" w:hAnsi="Tahoma" w:cs="Tahoma"/>
          <w:b/>
          <w:lang w:val="es-US" w:eastAsia="en-US"/>
        </w:rPr>
        <w:t xml:space="preserve">.- </w:t>
      </w:r>
      <w:r w:rsidR="00D94981" w:rsidRPr="00C576D8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cual, “Se declara el 2020 como año de Venustiano Carranza, y se autoriza trasladar temporalmente la sede de los Poderes del Estado al recinto que ocupa actualmente el Museo Casa Carranza en Xicotepec de Juárez”, entre otros resolutivos; y en su caso, aprobación.</w:t>
      </w:r>
    </w:p>
    <w:p w14:paraId="0FB6E185" w14:textId="1F339066" w:rsidR="00C576D8" w:rsidRDefault="00C576D8" w:rsidP="00D94981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7EF37CE" w14:textId="77777777" w:rsidR="0097084F" w:rsidRPr="00C576D8" w:rsidRDefault="0097084F" w:rsidP="00D94981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4E79911" w14:textId="4D985D57" w:rsidR="00C576D8" w:rsidRPr="00C576D8" w:rsidRDefault="00854943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6</w:t>
      </w:r>
      <w:r w:rsidR="00C576D8" w:rsidRPr="00C576D8">
        <w:rPr>
          <w:rFonts w:ascii="Tahoma" w:eastAsiaTheme="minorHAnsi" w:hAnsi="Tahoma" w:cs="Tahoma"/>
          <w:b/>
          <w:lang w:val="es-US" w:eastAsia="en-US"/>
        </w:rPr>
        <w:t xml:space="preserve">.- </w:t>
      </w:r>
      <w:r w:rsidR="00C576D8" w:rsidRPr="00C576D8">
        <w:rPr>
          <w:rFonts w:ascii="Tahoma" w:eastAsiaTheme="minorHAnsi" w:hAnsi="Tahoma" w:cs="Tahoma"/>
          <w:bCs/>
          <w:lang w:val="es-US" w:eastAsia="en-US"/>
        </w:rPr>
        <w:t>Lectura del Acuerdo por virtud del cual, “Se exhorta respetuosamente a la Secretaría de Cultura del Gobierno del Estado de Puebla, con la finalidad de que en el Museo interactivo de la Batalla del 5 de Mayo, se destine una sala para la exhibición de una exposición permanente dedicada a Juan Crisóstomo Bonilla Pérez, Juan Nepomuceno Méndez Sánchez y Juan Francisco Lucas, llamados los “Tres Juanes de la Sierra Norte”, que tenga como fin destacar la grandeza de la Patria, del Estado de Puebla y de honrar a estos tres héroes poblanos nacionales.”; y en su caso, aprobación.</w:t>
      </w:r>
    </w:p>
    <w:p w14:paraId="52BDC703" w14:textId="5F3CD0D2" w:rsidR="0097084F" w:rsidRDefault="0097084F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3B23F336" w14:textId="77777777" w:rsidR="0097084F" w:rsidRPr="00C576D8" w:rsidRDefault="0097084F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8A09715" w14:textId="19392F4D" w:rsidR="00C576D8" w:rsidRPr="00C576D8" w:rsidRDefault="00854943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7</w:t>
      </w:r>
      <w:r w:rsidR="00C576D8" w:rsidRPr="00C576D8">
        <w:rPr>
          <w:rFonts w:ascii="Tahoma" w:eastAsiaTheme="minorHAnsi" w:hAnsi="Tahoma" w:cs="Tahoma"/>
          <w:b/>
          <w:lang w:val="es-US" w:eastAsia="en-US"/>
        </w:rPr>
        <w:t xml:space="preserve">.- </w:t>
      </w:r>
      <w:r w:rsidR="00C576D8" w:rsidRPr="00C576D8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cual, “Se declaran Beneméritos Ilustres de Estado de Puebla en grado heroico a los CC. Juan Nepomuceno Méndez, Juan Crisóstomo Bonilla y Juan Francisco Lucas, por su contribución histórica a la emancipación de la Nación y la defensa universal de las libertades”, entre otros resolutivos; y en su caso, aprobación.</w:t>
      </w:r>
    </w:p>
    <w:p w14:paraId="63D0AF62" w14:textId="6D36402C" w:rsidR="00C576D8" w:rsidRDefault="00C576D8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76E2F01" w14:textId="77777777" w:rsidR="0097084F" w:rsidRDefault="0097084F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3C6F1B5B" w14:textId="5D27B4DB" w:rsidR="00C576D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8</w:t>
      </w:r>
      <w:r w:rsidR="00C576D8" w:rsidRPr="00C576D8">
        <w:rPr>
          <w:rFonts w:ascii="Tahoma" w:eastAsiaTheme="minorHAnsi" w:hAnsi="Tahoma" w:cs="Tahoma"/>
          <w:b/>
          <w:lang w:val="es-US" w:eastAsia="en-US"/>
        </w:rPr>
        <w:t xml:space="preserve">.- </w:t>
      </w:r>
      <w:r w:rsidR="00C576D8" w:rsidRPr="00C576D8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cual, “Se declara a Gilberto Bosques Saldívar, como Benemérito de Puebla, por su destacada labor como Profesor, Periodista, Político y Diplomático mexicano”, entre otro resolutivo; y en su caso, aprobación.</w:t>
      </w:r>
    </w:p>
    <w:p w14:paraId="648A48BB" w14:textId="28151F27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4D58E040" w14:textId="659FE338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41DCD1BB" w14:textId="4F66CC79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35BF1A1F" w14:textId="7F59DAC5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352AAAA8" w14:textId="40E1C8DF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30E3E4AF" w14:textId="31C8E6F7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03515FF6" w14:textId="63DB05C1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6478AF74" w14:textId="04EFED08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0364F100" w14:textId="527E3D1A" w:rsidR="007956A8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4FFAFFD0" w14:textId="77777777" w:rsidR="007956A8" w:rsidRPr="00C576D8" w:rsidRDefault="007956A8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0D79357F" w14:textId="398552B6" w:rsidR="00C576D8" w:rsidRDefault="00C576D8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AC2E682" w14:textId="77777777" w:rsidR="0097084F" w:rsidRDefault="0097084F" w:rsidP="00C576D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51C4A680" w14:textId="518D1719" w:rsidR="0097084F" w:rsidRDefault="007956A8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9</w:t>
      </w:r>
      <w:r w:rsidR="0097084F">
        <w:rPr>
          <w:rFonts w:ascii="Tahoma" w:eastAsiaTheme="minorHAnsi" w:hAnsi="Tahoma" w:cs="Tahoma"/>
          <w:b/>
          <w:lang w:val="es-US" w:eastAsia="en-US"/>
        </w:rPr>
        <w:t xml:space="preserve">.- </w:t>
      </w:r>
      <w:r w:rsidR="0097084F" w:rsidRPr="0097084F">
        <w:rPr>
          <w:rFonts w:ascii="Tahoma" w:eastAsiaTheme="minorHAnsi" w:hAnsi="Tahoma" w:cs="Tahoma"/>
          <w:bCs/>
          <w:lang w:val="es-US" w:eastAsia="en-US"/>
        </w:rPr>
        <w:t>Lectura del Acuerdo por virtud del cual, “Se exhorta respetuosamente al Titular del Ejecutivo del Estado, para que, a través de la Secretaría de Educación Pública del Estado, se emita circular a fin de incluir en los oficios y correspondencia de dicha Dependencia durante el año 2020, la leyenda “Agustín Yáñez Delgadillo, literato, político y maestro. 40 aniversario luctuoso”, en conmemoración a su fallecimiento y como reconocimiento a su labor en el ámbito educativo y cultural del país”; y en su caso, aprobación.</w:t>
      </w:r>
    </w:p>
    <w:p w14:paraId="34CC6F3E" w14:textId="3211F3A0" w:rsidR="0097084F" w:rsidRDefault="0097084F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75BC1843" w14:textId="77777777" w:rsidR="0097084F" w:rsidRPr="0097084F" w:rsidRDefault="0097084F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067D107C" w14:textId="448EB39E" w:rsidR="00C576D8" w:rsidRPr="00C576D8" w:rsidRDefault="00854943" w:rsidP="00C576D8">
      <w:pPr>
        <w:jc w:val="both"/>
        <w:rPr>
          <w:rFonts w:ascii="Tahoma" w:eastAsiaTheme="minorHAnsi" w:hAnsi="Tahoma" w:cs="Tahoma"/>
          <w:bCs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1</w:t>
      </w:r>
      <w:r w:rsidR="007956A8">
        <w:rPr>
          <w:rFonts w:ascii="Tahoma" w:eastAsiaTheme="minorHAnsi" w:hAnsi="Tahoma" w:cs="Tahoma"/>
          <w:b/>
          <w:lang w:val="es-US" w:eastAsia="en-US"/>
        </w:rPr>
        <w:t>0</w:t>
      </w:r>
      <w:bookmarkStart w:id="0" w:name="_GoBack"/>
      <w:bookmarkEnd w:id="0"/>
      <w:r w:rsidR="00C576D8" w:rsidRPr="00C576D8">
        <w:rPr>
          <w:rFonts w:ascii="Tahoma" w:eastAsiaTheme="minorHAnsi" w:hAnsi="Tahoma" w:cs="Tahoma"/>
          <w:b/>
          <w:lang w:val="es-US" w:eastAsia="en-US"/>
        </w:rPr>
        <w:t xml:space="preserve">.- </w:t>
      </w:r>
      <w:r w:rsidR="00C576D8" w:rsidRPr="00C576D8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7161D114" w14:textId="28238579" w:rsidR="00D94981" w:rsidRPr="00C576D8" w:rsidRDefault="00D94981" w:rsidP="00D94981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2916763B" w14:textId="77777777" w:rsidR="00501A7D" w:rsidRPr="00D9498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D9498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E025" w14:textId="77777777" w:rsidR="00C62719" w:rsidRDefault="00C62719">
      <w:r>
        <w:separator/>
      </w:r>
    </w:p>
  </w:endnote>
  <w:endnote w:type="continuationSeparator" w:id="0">
    <w:p w14:paraId="6F8C29B9" w14:textId="77777777" w:rsidR="00C62719" w:rsidRDefault="00C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C377" w14:textId="77777777" w:rsidR="00C62719" w:rsidRDefault="00C62719">
      <w:r>
        <w:separator/>
      </w:r>
    </w:p>
  </w:footnote>
  <w:footnote w:type="continuationSeparator" w:id="0">
    <w:p w14:paraId="5757E149" w14:textId="77777777" w:rsidR="00C62719" w:rsidRDefault="00C6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078A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1359E6D8" w14:textId="77777777" w:rsidR="00834570" w:rsidRPr="00354EA7" w:rsidRDefault="00354EA7" w:rsidP="00354EA7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        </w:t>
    </w:r>
    <w:r w:rsidR="001A560F">
      <w:rPr>
        <w:rFonts w:ascii="Monotype Corsiva" w:hAnsi="Monotype Corsiva"/>
        <w:b/>
        <w:lang w:val="es-MX"/>
      </w:rPr>
      <w:t xml:space="preserve"> </w:t>
    </w:r>
    <w:r w:rsidRPr="00354EA7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7AF9984C" w14:textId="77777777" w:rsidR="001160F1" w:rsidRPr="003A7AA5" w:rsidRDefault="00354EA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076A6" wp14:editId="78A471A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95EC8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0F055C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34906"/>
    <w:rsid w:val="00446B05"/>
    <w:rsid w:val="0045074C"/>
    <w:rsid w:val="004615D0"/>
    <w:rsid w:val="004622AE"/>
    <w:rsid w:val="00481CD7"/>
    <w:rsid w:val="004929A9"/>
    <w:rsid w:val="004B7023"/>
    <w:rsid w:val="004D2ACD"/>
    <w:rsid w:val="004D5791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6463B"/>
    <w:rsid w:val="005648CD"/>
    <w:rsid w:val="00577730"/>
    <w:rsid w:val="005C1232"/>
    <w:rsid w:val="005C5F32"/>
    <w:rsid w:val="005F5D6D"/>
    <w:rsid w:val="0060173E"/>
    <w:rsid w:val="00605AC9"/>
    <w:rsid w:val="006123A7"/>
    <w:rsid w:val="0062135F"/>
    <w:rsid w:val="006268C1"/>
    <w:rsid w:val="00641D0A"/>
    <w:rsid w:val="00670605"/>
    <w:rsid w:val="0067137D"/>
    <w:rsid w:val="00674A9D"/>
    <w:rsid w:val="006877AE"/>
    <w:rsid w:val="00690D05"/>
    <w:rsid w:val="006A06E9"/>
    <w:rsid w:val="006A5C8D"/>
    <w:rsid w:val="006B245A"/>
    <w:rsid w:val="006B351C"/>
    <w:rsid w:val="006D2145"/>
    <w:rsid w:val="006E05FF"/>
    <w:rsid w:val="006F282C"/>
    <w:rsid w:val="006F2FB2"/>
    <w:rsid w:val="006F759F"/>
    <w:rsid w:val="007013CC"/>
    <w:rsid w:val="00701819"/>
    <w:rsid w:val="007313C4"/>
    <w:rsid w:val="00755F5F"/>
    <w:rsid w:val="00755F8D"/>
    <w:rsid w:val="00764195"/>
    <w:rsid w:val="00767460"/>
    <w:rsid w:val="007956A8"/>
    <w:rsid w:val="007A08F4"/>
    <w:rsid w:val="007A7990"/>
    <w:rsid w:val="007B058A"/>
    <w:rsid w:val="007B3E49"/>
    <w:rsid w:val="007C0B07"/>
    <w:rsid w:val="007E273B"/>
    <w:rsid w:val="007F280F"/>
    <w:rsid w:val="008052A8"/>
    <w:rsid w:val="00830EEF"/>
    <w:rsid w:val="00834570"/>
    <w:rsid w:val="00834D31"/>
    <w:rsid w:val="008406BF"/>
    <w:rsid w:val="00854943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084F"/>
    <w:rsid w:val="0097600D"/>
    <w:rsid w:val="00987846"/>
    <w:rsid w:val="00987CF2"/>
    <w:rsid w:val="00995EC8"/>
    <w:rsid w:val="009C61E6"/>
    <w:rsid w:val="009D269B"/>
    <w:rsid w:val="009D315D"/>
    <w:rsid w:val="009F6FD3"/>
    <w:rsid w:val="00A033E6"/>
    <w:rsid w:val="00A0539B"/>
    <w:rsid w:val="00A664A5"/>
    <w:rsid w:val="00A71522"/>
    <w:rsid w:val="00A9086E"/>
    <w:rsid w:val="00A97D58"/>
    <w:rsid w:val="00AB492F"/>
    <w:rsid w:val="00AB5939"/>
    <w:rsid w:val="00AC1AAB"/>
    <w:rsid w:val="00AC6C32"/>
    <w:rsid w:val="00AD13F0"/>
    <w:rsid w:val="00AD34F9"/>
    <w:rsid w:val="00AE7098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576D8"/>
    <w:rsid w:val="00C62719"/>
    <w:rsid w:val="00CD1DAC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94981"/>
    <w:rsid w:val="00DA22DE"/>
    <w:rsid w:val="00DA6180"/>
    <w:rsid w:val="00DB0A08"/>
    <w:rsid w:val="00DB3D80"/>
    <w:rsid w:val="00DB4EEB"/>
    <w:rsid w:val="00DB7A7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373EE"/>
    <w:rsid w:val="00E47A6B"/>
    <w:rsid w:val="00E565B1"/>
    <w:rsid w:val="00E60959"/>
    <w:rsid w:val="00E60CA0"/>
    <w:rsid w:val="00EA6705"/>
    <w:rsid w:val="00ED6457"/>
    <w:rsid w:val="00EE253D"/>
    <w:rsid w:val="00EE4CE5"/>
    <w:rsid w:val="00EF5152"/>
    <w:rsid w:val="00F1199A"/>
    <w:rsid w:val="00F23E7C"/>
    <w:rsid w:val="00F372E3"/>
    <w:rsid w:val="00F87840"/>
    <w:rsid w:val="00F94FBF"/>
    <w:rsid w:val="00FB0A3D"/>
    <w:rsid w:val="00FC1CF3"/>
    <w:rsid w:val="00FD26CF"/>
    <w:rsid w:val="00FE3744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DB71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12</cp:revision>
  <cp:lastPrinted>2020-02-13T22:39:00Z</cp:lastPrinted>
  <dcterms:created xsi:type="dcterms:W3CDTF">2019-12-12T16:16:00Z</dcterms:created>
  <dcterms:modified xsi:type="dcterms:W3CDTF">2020-02-26T16:24:00Z</dcterms:modified>
</cp:coreProperties>
</file>