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11E26DC6"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0D374F">
        <w:rPr>
          <w:rFonts w:ascii="Tahoma" w:hAnsi="Tahoma" w:cs="Tahoma"/>
          <w:sz w:val="20"/>
          <w:szCs w:val="20"/>
        </w:rPr>
        <w:t xml:space="preserve"> 3 de febrero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0D374F">
        <w:rPr>
          <w:rFonts w:ascii="Tahoma" w:hAnsi="Tahoma" w:cs="Tahoma"/>
          <w:sz w:val="20"/>
          <w:szCs w:val="20"/>
          <w:lang w:val="es-MX"/>
        </w:rPr>
        <w:t>1</w:t>
      </w:r>
    </w:p>
    <w:p w14:paraId="638AFA47" w14:textId="36E79885"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0307B5">
        <w:rPr>
          <w:rFonts w:ascii="Tahoma" w:hAnsi="Tahoma" w:cs="Tahoma"/>
          <w:sz w:val="20"/>
          <w:szCs w:val="20"/>
        </w:rPr>
        <w:t>1</w:t>
      </w:r>
      <w:r w:rsidR="000D374F">
        <w:rPr>
          <w:rFonts w:ascii="Tahoma" w:hAnsi="Tahoma" w:cs="Tahoma"/>
          <w:sz w:val="20"/>
          <w:szCs w:val="20"/>
        </w:rPr>
        <w:t>4</w:t>
      </w:r>
      <w:r w:rsidR="000307B5">
        <w:rPr>
          <w:rFonts w:ascii="Tahoma" w:hAnsi="Tahoma" w:cs="Tahoma"/>
          <w:sz w:val="20"/>
          <w:szCs w:val="20"/>
        </w:rPr>
        <w:t>:00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B3D2BA9" w14:textId="600BAB1E" w:rsidR="00DB4EEB" w:rsidRPr="00993122" w:rsidRDefault="001A560F" w:rsidP="00993122">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4C0EAF4" w14:textId="69B863D0" w:rsidR="001D0E3A" w:rsidRDefault="00BD61B9" w:rsidP="002524D7">
      <w:pPr>
        <w:jc w:val="center"/>
        <w:rPr>
          <w:rFonts w:ascii="Tahoma" w:eastAsiaTheme="minorHAnsi" w:hAnsi="Tahoma" w:cs="Tahoma"/>
          <w:b/>
          <w:i/>
          <w:lang w:val="es-US" w:eastAsia="en-US"/>
        </w:rPr>
      </w:pPr>
      <w:r>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0A00CA2C" w14:textId="77777777" w:rsidR="000D374F" w:rsidRPr="00006935" w:rsidRDefault="000D374F" w:rsidP="00210B58">
      <w:pPr>
        <w:rPr>
          <w:rFonts w:ascii="Tahoma" w:eastAsiaTheme="minorHAnsi" w:hAnsi="Tahoma" w:cs="Tahoma"/>
          <w:b/>
          <w:i/>
          <w:sz w:val="26"/>
          <w:szCs w:val="26"/>
          <w:lang w:val="es-US" w:eastAsia="en-US"/>
        </w:rPr>
      </w:pPr>
    </w:p>
    <w:p w14:paraId="0189AB1B" w14:textId="52060881" w:rsidR="00834570" w:rsidRPr="000D374F" w:rsidRDefault="001A560F" w:rsidP="00F1199A">
      <w:pPr>
        <w:jc w:val="both"/>
        <w:rPr>
          <w:rFonts w:ascii="Tahoma" w:eastAsiaTheme="minorHAnsi" w:hAnsi="Tahoma" w:cs="Tahoma"/>
          <w:sz w:val="23"/>
          <w:szCs w:val="23"/>
          <w:lang w:eastAsia="en-US"/>
        </w:rPr>
      </w:pPr>
      <w:r w:rsidRPr="000D374F">
        <w:rPr>
          <w:rFonts w:ascii="Tahoma" w:eastAsiaTheme="minorHAnsi" w:hAnsi="Tahoma" w:cs="Tahoma"/>
          <w:b/>
          <w:sz w:val="23"/>
          <w:szCs w:val="23"/>
          <w:lang w:val="es-US" w:eastAsia="en-US"/>
        </w:rPr>
        <w:t>1.-</w:t>
      </w:r>
      <w:r w:rsidRPr="000D374F">
        <w:rPr>
          <w:rFonts w:ascii="Tahoma" w:eastAsiaTheme="minorHAnsi" w:hAnsi="Tahoma" w:cs="Tahoma"/>
          <w:sz w:val="23"/>
          <w:szCs w:val="23"/>
          <w:lang w:val="es-US" w:eastAsia="en-US"/>
        </w:rPr>
        <w:t xml:space="preserve"> Pase de lista y declaración de quórum legal.</w:t>
      </w:r>
      <w:r w:rsidR="006E05FF" w:rsidRPr="000D374F">
        <w:rPr>
          <w:rFonts w:ascii="Tahoma" w:eastAsiaTheme="minorHAnsi" w:hAnsi="Tahoma" w:cs="Tahoma"/>
          <w:sz w:val="23"/>
          <w:szCs w:val="23"/>
          <w:lang w:eastAsia="en-US"/>
        </w:rPr>
        <w:tab/>
      </w:r>
    </w:p>
    <w:p w14:paraId="5FDF33DF" w14:textId="7B410BA3" w:rsidR="00025DB7" w:rsidRPr="000D374F" w:rsidRDefault="00354EA7" w:rsidP="00EC29DA">
      <w:pPr>
        <w:tabs>
          <w:tab w:val="left" w:pos="6150"/>
        </w:tabs>
        <w:jc w:val="both"/>
        <w:rPr>
          <w:rFonts w:ascii="Tahoma" w:eastAsiaTheme="minorHAnsi" w:hAnsi="Tahoma" w:cs="Tahoma"/>
          <w:sz w:val="23"/>
          <w:szCs w:val="23"/>
          <w:lang w:val="es-US" w:eastAsia="en-US"/>
        </w:rPr>
      </w:pPr>
      <w:r w:rsidRPr="000D374F">
        <w:rPr>
          <w:rFonts w:ascii="Tahoma" w:eastAsiaTheme="minorHAnsi" w:hAnsi="Tahoma" w:cs="Tahoma"/>
          <w:sz w:val="23"/>
          <w:szCs w:val="23"/>
          <w:lang w:val="es-US" w:eastAsia="en-US"/>
        </w:rPr>
        <w:tab/>
      </w:r>
    </w:p>
    <w:p w14:paraId="5D4F04C2" w14:textId="0FD5031E" w:rsidR="004976F3" w:rsidRPr="000D374F" w:rsidRDefault="001A560F" w:rsidP="00F1199A">
      <w:pPr>
        <w:jc w:val="both"/>
        <w:rPr>
          <w:rFonts w:ascii="Tahoma" w:eastAsiaTheme="minorHAnsi" w:hAnsi="Tahoma" w:cs="Tahoma"/>
          <w:sz w:val="23"/>
          <w:szCs w:val="23"/>
          <w:lang w:eastAsia="en-US"/>
        </w:rPr>
      </w:pPr>
      <w:r w:rsidRPr="000D374F">
        <w:rPr>
          <w:rFonts w:ascii="Tahoma" w:eastAsiaTheme="minorHAnsi" w:hAnsi="Tahoma" w:cs="Tahoma"/>
          <w:b/>
          <w:sz w:val="23"/>
          <w:szCs w:val="23"/>
          <w:lang w:val="es-US" w:eastAsia="en-US"/>
        </w:rPr>
        <w:t>2.-</w:t>
      </w:r>
      <w:r w:rsidRPr="000D374F">
        <w:rPr>
          <w:rFonts w:ascii="Tahoma" w:eastAsiaTheme="minorHAnsi" w:hAnsi="Tahoma" w:cs="Tahoma"/>
          <w:sz w:val="23"/>
          <w:szCs w:val="23"/>
          <w:lang w:val="es-US" w:eastAsia="en-US"/>
        </w:rPr>
        <w:t xml:space="preserve"> Lectura del Orden del Día, y en su caso, aprobación.</w:t>
      </w:r>
      <w:r w:rsidR="009F6FD3" w:rsidRPr="000D374F">
        <w:rPr>
          <w:rFonts w:ascii="Tahoma" w:eastAsiaTheme="minorHAnsi" w:hAnsi="Tahoma" w:cs="Tahoma"/>
          <w:sz w:val="23"/>
          <w:szCs w:val="23"/>
          <w:lang w:eastAsia="en-US"/>
        </w:rPr>
        <w:tab/>
      </w:r>
    </w:p>
    <w:p w14:paraId="6B2C3F52" w14:textId="77777777" w:rsidR="000602E0" w:rsidRPr="000D374F" w:rsidRDefault="000602E0" w:rsidP="00F1199A">
      <w:pPr>
        <w:jc w:val="both"/>
        <w:rPr>
          <w:rFonts w:ascii="Tahoma" w:eastAsiaTheme="minorHAnsi" w:hAnsi="Tahoma" w:cs="Tahoma"/>
          <w:sz w:val="23"/>
          <w:szCs w:val="23"/>
          <w:lang w:eastAsia="en-US"/>
        </w:rPr>
      </w:pPr>
    </w:p>
    <w:p w14:paraId="06294246" w14:textId="6C81B671" w:rsidR="00D328A0" w:rsidRPr="000D374F" w:rsidRDefault="001A560F" w:rsidP="00147D9A">
      <w:pPr>
        <w:jc w:val="both"/>
        <w:rPr>
          <w:rFonts w:ascii="Tahoma" w:eastAsiaTheme="minorHAnsi" w:hAnsi="Tahoma" w:cs="Tahoma"/>
          <w:sz w:val="23"/>
          <w:szCs w:val="23"/>
          <w:lang w:val="es-US" w:eastAsia="en-US"/>
        </w:rPr>
      </w:pPr>
      <w:r w:rsidRPr="000D374F">
        <w:rPr>
          <w:rFonts w:ascii="Tahoma" w:eastAsiaTheme="minorHAnsi" w:hAnsi="Tahoma" w:cs="Tahoma"/>
          <w:b/>
          <w:sz w:val="23"/>
          <w:szCs w:val="23"/>
          <w:lang w:val="es-US" w:eastAsia="en-US"/>
        </w:rPr>
        <w:t>3.-</w:t>
      </w:r>
      <w:r w:rsidR="00147D9A" w:rsidRPr="000D374F">
        <w:rPr>
          <w:rFonts w:ascii="Tahoma" w:eastAsiaTheme="minorHAnsi" w:hAnsi="Tahoma" w:cs="Tahoma"/>
          <w:sz w:val="23"/>
          <w:szCs w:val="23"/>
          <w:lang w:val="es-US" w:eastAsia="en-US"/>
        </w:rPr>
        <w:t xml:space="preserve"> </w:t>
      </w:r>
      <w:r w:rsidR="004B7023" w:rsidRPr="000D374F">
        <w:rPr>
          <w:rFonts w:ascii="Tahoma" w:eastAsiaTheme="minorHAnsi" w:hAnsi="Tahoma" w:cs="Tahoma"/>
          <w:sz w:val="23"/>
          <w:szCs w:val="23"/>
          <w:lang w:val="es-US" w:eastAsia="en-US"/>
        </w:rPr>
        <w:t xml:space="preserve">Lectura del Acta de la </w:t>
      </w:r>
      <w:r w:rsidR="004A152E" w:rsidRPr="000D374F">
        <w:rPr>
          <w:rFonts w:ascii="Tahoma" w:eastAsiaTheme="minorHAnsi" w:hAnsi="Tahoma" w:cs="Tahoma"/>
          <w:sz w:val="23"/>
          <w:szCs w:val="23"/>
          <w:lang w:val="es-US" w:eastAsia="en-US"/>
        </w:rPr>
        <w:t xml:space="preserve">Sesión </w:t>
      </w:r>
      <w:r w:rsidR="004B7023" w:rsidRPr="000D374F">
        <w:rPr>
          <w:rFonts w:ascii="Tahoma" w:eastAsiaTheme="minorHAnsi" w:hAnsi="Tahoma" w:cs="Tahoma"/>
          <w:sz w:val="23"/>
          <w:szCs w:val="23"/>
          <w:lang w:val="es-US" w:eastAsia="en-US"/>
        </w:rPr>
        <w:t>anterior</w:t>
      </w:r>
      <w:r w:rsidR="00E432C9" w:rsidRPr="000D374F">
        <w:rPr>
          <w:rFonts w:ascii="Tahoma" w:eastAsiaTheme="minorHAnsi" w:hAnsi="Tahoma" w:cs="Tahoma"/>
          <w:sz w:val="23"/>
          <w:szCs w:val="23"/>
          <w:lang w:val="es-US" w:eastAsia="en-US"/>
        </w:rPr>
        <w:t xml:space="preserve"> de fecha </w:t>
      </w:r>
      <w:r w:rsidR="000D374F" w:rsidRPr="000D374F">
        <w:rPr>
          <w:rFonts w:ascii="Tahoma" w:eastAsiaTheme="minorHAnsi" w:hAnsi="Tahoma" w:cs="Tahoma"/>
          <w:sz w:val="23"/>
          <w:szCs w:val="23"/>
          <w:lang w:val="es-US" w:eastAsia="en-US"/>
        </w:rPr>
        <w:t>20 de noviembre</w:t>
      </w:r>
      <w:r w:rsidR="00B25E8F" w:rsidRPr="000D374F">
        <w:rPr>
          <w:rFonts w:ascii="Tahoma" w:eastAsiaTheme="minorHAnsi" w:hAnsi="Tahoma" w:cs="Tahoma"/>
          <w:sz w:val="23"/>
          <w:szCs w:val="23"/>
          <w:lang w:val="es-US" w:eastAsia="en-US"/>
        </w:rPr>
        <w:t xml:space="preserve"> </w:t>
      </w:r>
      <w:r w:rsidR="00E432C9" w:rsidRPr="000D374F">
        <w:rPr>
          <w:rFonts w:ascii="Tahoma" w:eastAsiaTheme="minorHAnsi" w:hAnsi="Tahoma" w:cs="Tahoma"/>
          <w:sz w:val="23"/>
          <w:szCs w:val="23"/>
          <w:lang w:val="es-US" w:eastAsia="en-US"/>
        </w:rPr>
        <w:t>de 2020</w:t>
      </w:r>
      <w:r w:rsidR="004B7023" w:rsidRPr="000D374F">
        <w:rPr>
          <w:rFonts w:ascii="Tahoma" w:eastAsiaTheme="minorHAnsi" w:hAnsi="Tahoma" w:cs="Tahoma"/>
          <w:sz w:val="23"/>
          <w:szCs w:val="23"/>
          <w:lang w:val="es-US" w:eastAsia="en-US"/>
        </w:rPr>
        <w:t>, y en su caso, aprobación.</w:t>
      </w:r>
    </w:p>
    <w:p w14:paraId="453CD5AB" w14:textId="74425CD8" w:rsidR="000D374F" w:rsidRPr="000D374F" w:rsidRDefault="007C0B07" w:rsidP="000D374F">
      <w:pPr>
        <w:pStyle w:val="s18"/>
        <w:jc w:val="both"/>
        <w:divId w:val="3214446"/>
        <w:rPr>
          <w:rFonts w:ascii="Tahoma" w:eastAsiaTheme="minorHAnsi" w:hAnsi="Tahoma" w:cs="Tahoma"/>
          <w:bCs/>
          <w:sz w:val="23"/>
          <w:szCs w:val="23"/>
          <w:lang w:val="es-US" w:eastAsia="en-US"/>
        </w:rPr>
      </w:pPr>
      <w:r w:rsidRPr="000D374F">
        <w:rPr>
          <w:rFonts w:ascii="Tahoma" w:eastAsiaTheme="minorHAnsi" w:hAnsi="Tahoma" w:cs="Tahoma"/>
          <w:b/>
          <w:sz w:val="23"/>
          <w:szCs w:val="23"/>
          <w:lang w:val="es-US" w:eastAsia="en-US"/>
        </w:rPr>
        <w:t>4.-</w:t>
      </w:r>
      <w:r w:rsidR="000D374F" w:rsidRPr="000D374F">
        <w:rPr>
          <w:rFonts w:ascii="Tahoma" w:eastAsiaTheme="minorHAnsi" w:hAnsi="Tahoma" w:cs="Tahoma"/>
          <w:b/>
          <w:sz w:val="23"/>
          <w:szCs w:val="23"/>
          <w:lang w:val="es-US" w:eastAsia="en-US"/>
        </w:rPr>
        <w:t xml:space="preserve"> </w:t>
      </w:r>
      <w:r w:rsidR="000D374F" w:rsidRPr="000D374F">
        <w:rPr>
          <w:rFonts w:ascii="Tahoma" w:eastAsiaTheme="minorHAnsi" w:hAnsi="Tahoma" w:cs="Tahoma"/>
          <w:bCs/>
          <w:sz w:val="23"/>
          <w:szCs w:val="23"/>
          <w:lang w:val="es-US" w:eastAsia="en-US"/>
        </w:rPr>
        <w:t>Lectura del Acuerdo por virtud del cual se declara sin materia el Punto de Acuerdo que “se exhorta respetuosamente a la Secretaría de Gobernación del Gobierno del Estado para que, con base en el ámbito de sus atribuciones, dé a conocer a la Secretaría de Seguridad Pública del Estado, a las dependencias de seguridad pública de los Ayuntamientos y Concejo Municipal de la Entidad, a las y los Ministerios Públicos de la Fiscalía General del Estado y a todas las autoridades que puedan ser consideradas como primer respondiente, el Protocolo de Actuación para Casos de Intentos de Linchamientos en el Estado de Puebla, publicado el veintinueve de mayo del presente año, y sean realizados simulacros y los capaciten en materia de derechos humanos, para evitar sigan sucediendo linchamientos, que transgreden lo establecido en el artículo 17 de la Constitución Política de los Estados Unidos Mexicanos”, y en su caso, aprobación.</w:t>
      </w:r>
    </w:p>
    <w:p w14:paraId="49DDCBF9" w14:textId="49F6C268" w:rsidR="000D374F" w:rsidRPr="000D374F" w:rsidRDefault="000D374F" w:rsidP="000D374F">
      <w:pPr>
        <w:pStyle w:val="s18"/>
        <w:jc w:val="both"/>
        <w:divId w:val="3214446"/>
        <w:rPr>
          <w:rFonts w:ascii="Tahoma" w:eastAsiaTheme="minorHAnsi" w:hAnsi="Tahoma" w:cs="Tahoma"/>
          <w:bCs/>
          <w:sz w:val="23"/>
          <w:szCs w:val="23"/>
          <w:lang w:val="es-US" w:eastAsia="en-US"/>
        </w:rPr>
      </w:pPr>
      <w:r w:rsidRPr="000D374F">
        <w:rPr>
          <w:rFonts w:ascii="Tahoma" w:eastAsiaTheme="minorHAnsi" w:hAnsi="Tahoma" w:cs="Tahoma"/>
          <w:b/>
          <w:sz w:val="23"/>
          <w:szCs w:val="23"/>
          <w:lang w:val="es-US" w:eastAsia="en-US"/>
        </w:rPr>
        <w:t>5.</w:t>
      </w:r>
      <w:r w:rsidRPr="000D374F">
        <w:rPr>
          <w:rFonts w:ascii="Tahoma" w:eastAsiaTheme="minorHAnsi" w:hAnsi="Tahoma" w:cs="Tahoma"/>
          <w:b/>
          <w:sz w:val="23"/>
          <w:szCs w:val="23"/>
          <w:lang w:val="es-US" w:eastAsia="en-US"/>
        </w:rPr>
        <w:t xml:space="preserve">- </w:t>
      </w:r>
      <w:r w:rsidRPr="000D374F">
        <w:rPr>
          <w:rFonts w:ascii="Tahoma" w:eastAsiaTheme="minorHAnsi" w:hAnsi="Tahoma" w:cs="Tahoma"/>
          <w:bCs/>
          <w:sz w:val="23"/>
          <w:szCs w:val="23"/>
          <w:lang w:val="es-US" w:eastAsia="en-US"/>
        </w:rPr>
        <w:t>Lectura del Acuerdo por virtud del cual se declara sin materia el Punto de Acuerdo que “se exhorta al Gobernador Constitucional del Estado Libre y Soberano de Puebla, al Fiscal General del Estado de Puebla y a la Presidenta Municipal de San Martín Texmelucan, Puebla, para que en el ámbito de sus atribuciones, destituyan de forma inmediata al Comisario de Seguridad Pública, inicien las carpetas respectivas para fincar responsabilidades penales y administrativas y asuman el mando de la seguridad pública en dicho Municipio”, entre otro resolutivo, y en su caso, aprobación.</w:t>
      </w:r>
    </w:p>
    <w:p w14:paraId="5CE6FAE7" w14:textId="21D05C7F" w:rsidR="000D374F" w:rsidRPr="000D374F" w:rsidRDefault="000D374F" w:rsidP="000D374F">
      <w:pPr>
        <w:pStyle w:val="s18"/>
        <w:jc w:val="both"/>
        <w:divId w:val="3214446"/>
        <w:rPr>
          <w:rFonts w:ascii="Tahoma" w:eastAsiaTheme="minorHAnsi" w:hAnsi="Tahoma" w:cs="Tahoma"/>
          <w:bCs/>
          <w:sz w:val="23"/>
          <w:szCs w:val="23"/>
          <w:lang w:val="es-US" w:eastAsia="en-US"/>
        </w:rPr>
      </w:pPr>
      <w:r w:rsidRPr="000D374F">
        <w:rPr>
          <w:rFonts w:ascii="Tahoma" w:eastAsiaTheme="minorHAnsi" w:hAnsi="Tahoma" w:cs="Tahoma"/>
          <w:b/>
          <w:sz w:val="23"/>
          <w:szCs w:val="23"/>
          <w:lang w:val="es-US" w:eastAsia="en-US"/>
        </w:rPr>
        <w:t>6.</w:t>
      </w:r>
      <w:r w:rsidRPr="000D374F">
        <w:rPr>
          <w:rFonts w:ascii="Tahoma" w:eastAsiaTheme="minorHAnsi" w:hAnsi="Tahoma" w:cs="Tahoma"/>
          <w:b/>
          <w:sz w:val="23"/>
          <w:szCs w:val="23"/>
          <w:lang w:val="es-US" w:eastAsia="en-US"/>
        </w:rPr>
        <w:t xml:space="preserve">- </w:t>
      </w:r>
      <w:r w:rsidRPr="000D374F">
        <w:rPr>
          <w:rFonts w:ascii="Tahoma" w:eastAsiaTheme="minorHAnsi" w:hAnsi="Tahoma" w:cs="Tahoma"/>
          <w:bCs/>
          <w:sz w:val="23"/>
          <w:szCs w:val="23"/>
          <w:lang w:val="es-US" w:eastAsia="en-US"/>
        </w:rPr>
        <w:t>Lectura del Acuerdo por virtud del cual se declara sin materia el Punto de Acuerdo que “se exhorta respetuosamente al Gobernador Interino y a la Presidenta Municipal Constitucional del Ayuntamiento de la Ciudad de Puebla, a que suscriban de conformidad con los ordenamientos constitucionales y legales, convenio con la Guardia Nacional, a efecto de colaborar con esa Institución de Seguridad Pública, en la protección de la integridad física de las personas y en la preservación de sus bienes, en situaciones de peligro, cuando se vean amenazadas por situaciones que impliquen violencia o riesgo inminente; previniendo la comisión de delitos, así como garantizar, mantener y restablecer la paz y el orden públicos; en nuestro Estado y en la Ciudad de Puebla”, entre otro resolutivo, y en su caso, aprobación.</w:t>
      </w:r>
    </w:p>
    <w:p w14:paraId="24345BE4" w14:textId="4307E620" w:rsidR="000D374F" w:rsidRPr="000D374F" w:rsidRDefault="000D374F" w:rsidP="000D374F">
      <w:pPr>
        <w:pStyle w:val="s18"/>
        <w:jc w:val="both"/>
        <w:divId w:val="3214446"/>
        <w:rPr>
          <w:rFonts w:ascii="Tahoma" w:eastAsiaTheme="minorHAnsi" w:hAnsi="Tahoma" w:cs="Tahoma"/>
          <w:bCs/>
          <w:sz w:val="23"/>
          <w:szCs w:val="23"/>
          <w:lang w:val="es-US" w:eastAsia="en-US"/>
        </w:rPr>
      </w:pPr>
      <w:r w:rsidRPr="000D374F">
        <w:rPr>
          <w:rFonts w:ascii="Tahoma" w:eastAsiaTheme="minorHAnsi" w:hAnsi="Tahoma" w:cs="Tahoma"/>
          <w:b/>
          <w:sz w:val="23"/>
          <w:szCs w:val="23"/>
          <w:lang w:val="es-US" w:eastAsia="en-US"/>
        </w:rPr>
        <w:t>7.</w:t>
      </w:r>
      <w:r w:rsidRPr="000D374F">
        <w:rPr>
          <w:rFonts w:ascii="Tahoma" w:eastAsiaTheme="minorHAnsi" w:hAnsi="Tahoma" w:cs="Tahoma"/>
          <w:b/>
          <w:sz w:val="23"/>
          <w:szCs w:val="23"/>
          <w:lang w:val="es-US" w:eastAsia="en-US"/>
        </w:rPr>
        <w:t xml:space="preserve">- </w:t>
      </w:r>
      <w:r w:rsidRPr="000D374F">
        <w:rPr>
          <w:rFonts w:ascii="Tahoma" w:eastAsiaTheme="minorHAnsi" w:hAnsi="Tahoma" w:cs="Tahoma"/>
          <w:bCs/>
          <w:sz w:val="23"/>
          <w:szCs w:val="23"/>
          <w:lang w:val="es-US" w:eastAsia="en-US"/>
        </w:rPr>
        <w:t>Lectura del Acuerdo por virtud del cual se declara sin materia el Punto de Acuerdo que “se exhorta al Secretario General de Gobierno y al de Seguridad Pública del Estado a que implementen un operativo de seguridad extraordinario en el Municipio de Amozoc derivado de los hechos delictivos que cobraron la vida de ocho personas en las pasadas horas”, y en su caso, aprobación</w:t>
      </w:r>
      <w:r w:rsidRPr="000D374F">
        <w:rPr>
          <w:rFonts w:ascii="Tahoma" w:eastAsiaTheme="minorHAnsi" w:hAnsi="Tahoma" w:cs="Tahoma"/>
          <w:bCs/>
          <w:sz w:val="23"/>
          <w:szCs w:val="23"/>
          <w:lang w:val="es-US" w:eastAsia="en-US"/>
        </w:rPr>
        <w:t>.</w:t>
      </w:r>
    </w:p>
    <w:p w14:paraId="07B609DB" w14:textId="64226D6F" w:rsidR="000D374F" w:rsidRPr="000D374F" w:rsidRDefault="000D374F" w:rsidP="000D374F">
      <w:pPr>
        <w:pStyle w:val="s18"/>
        <w:jc w:val="both"/>
        <w:divId w:val="3214446"/>
        <w:rPr>
          <w:rFonts w:ascii="Tahoma" w:eastAsiaTheme="minorHAnsi" w:hAnsi="Tahoma" w:cs="Tahoma"/>
          <w:bCs/>
          <w:sz w:val="23"/>
          <w:szCs w:val="23"/>
          <w:lang w:val="es-US" w:eastAsia="en-US"/>
        </w:rPr>
      </w:pPr>
      <w:r w:rsidRPr="000D374F">
        <w:rPr>
          <w:rFonts w:ascii="Tahoma" w:eastAsiaTheme="minorHAnsi" w:hAnsi="Tahoma" w:cs="Tahoma"/>
          <w:b/>
          <w:sz w:val="23"/>
          <w:szCs w:val="23"/>
          <w:lang w:val="es-US" w:eastAsia="en-US"/>
        </w:rPr>
        <w:t>8.</w:t>
      </w:r>
      <w:r w:rsidRPr="000D374F">
        <w:rPr>
          <w:rFonts w:ascii="Tahoma" w:eastAsiaTheme="minorHAnsi" w:hAnsi="Tahoma" w:cs="Tahoma"/>
          <w:b/>
          <w:sz w:val="23"/>
          <w:szCs w:val="23"/>
          <w:lang w:val="es-US" w:eastAsia="en-US"/>
        </w:rPr>
        <w:t xml:space="preserve">- </w:t>
      </w:r>
      <w:r w:rsidRPr="000D374F">
        <w:rPr>
          <w:rFonts w:ascii="Tahoma" w:eastAsiaTheme="minorHAnsi" w:hAnsi="Tahoma" w:cs="Tahoma"/>
          <w:bCs/>
          <w:sz w:val="23"/>
          <w:szCs w:val="23"/>
          <w:lang w:val="es-US" w:eastAsia="en-US"/>
        </w:rPr>
        <w:t>Asuntos Generales.</w:t>
      </w:r>
    </w:p>
    <w:p w14:paraId="47CF162E" w14:textId="77777777" w:rsidR="00501A7D" w:rsidRPr="000D374F" w:rsidRDefault="00501A7D" w:rsidP="00F1199A">
      <w:pPr>
        <w:spacing w:line="360" w:lineRule="auto"/>
        <w:jc w:val="both"/>
        <w:rPr>
          <w:rFonts w:ascii="Tahoma" w:eastAsia="Calibri" w:hAnsi="Tahoma" w:cs="Tahoma"/>
          <w:b/>
          <w:sz w:val="23"/>
          <w:szCs w:val="23"/>
          <w:lang w:val="es-MX" w:eastAsia="en-US"/>
        </w:rPr>
      </w:pPr>
    </w:p>
    <w:sectPr w:rsidR="00501A7D" w:rsidRPr="000D374F">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34A8" w14:textId="77777777" w:rsidR="00934482" w:rsidRDefault="00934482">
      <w:r>
        <w:separator/>
      </w:r>
    </w:p>
  </w:endnote>
  <w:endnote w:type="continuationSeparator" w:id="0">
    <w:p w14:paraId="2873CDCD" w14:textId="77777777" w:rsidR="00934482" w:rsidRDefault="0093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C2303" w14:textId="77777777" w:rsidR="00934482" w:rsidRDefault="00934482">
      <w:r>
        <w:separator/>
      </w:r>
    </w:p>
  </w:footnote>
  <w:footnote w:type="continuationSeparator" w:id="0">
    <w:p w14:paraId="16CA34B4" w14:textId="77777777" w:rsidR="00934482" w:rsidRDefault="0093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056A9C27" w:rsidR="00C66D09" w:rsidRPr="00C66D09" w:rsidRDefault="00D17F96" w:rsidP="009565D6">
    <w:pPr>
      <w:pStyle w:val="Encabezado"/>
      <w:ind w:left="426" w:hanging="142"/>
      <w:jc w:val="center"/>
      <w:rPr>
        <w:rFonts w:ascii="Tahoma" w:hAnsi="Tahoma" w:cs="Tahoma"/>
        <w:b/>
        <w:smallCaps/>
        <w:color w:val="000000"/>
        <w:sz w:val="38"/>
        <w:szCs w:val="38"/>
      </w:rPr>
    </w:pPr>
    <w:r>
      <w:rPr>
        <w:noProof/>
      </w:rPr>
      <w:drawing>
        <wp:anchor distT="0" distB="0" distL="114300" distR="114300" simplePos="0" relativeHeight="251659264" behindDoc="1" locked="0" layoutInCell="1" allowOverlap="1" wp14:anchorId="3700DCE1" wp14:editId="26EF9F1F">
          <wp:simplePos x="0" y="0"/>
          <wp:positionH relativeFrom="margin">
            <wp:posOffset>-43132</wp:posOffset>
          </wp:positionH>
          <wp:positionV relativeFrom="paragraph">
            <wp:posOffset>149225</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E7C">
      <w:rPr>
        <w:rFonts w:ascii="Lucida Handwriting" w:hAnsi="Lucida Handwriting"/>
        <w:sz w:val="16"/>
        <w:szCs w:val="16"/>
      </w:rPr>
      <w:t xml:space="preserve">         </w:t>
    </w:r>
  </w:p>
  <w:p w14:paraId="3E791F28" w14:textId="7C06FE32" w:rsidR="002253E6" w:rsidRPr="00C30853" w:rsidRDefault="00225E7C"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E94630">
      <w:rPr>
        <w:rFonts w:ascii="Tahoma" w:hAnsi="Tahoma" w:cs="Tahoma"/>
        <w:b/>
        <w:bCs/>
        <w:sz w:val="34"/>
        <w:szCs w:val="34"/>
      </w:rPr>
      <w:t xml:space="preserve"> </w:t>
    </w:r>
    <w:r w:rsidR="002231C1">
      <w:rPr>
        <w:rFonts w:ascii="Tahoma" w:hAnsi="Tahoma" w:cs="Tahoma"/>
        <w:b/>
        <w:bCs/>
        <w:sz w:val="34"/>
        <w:szCs w:val="34"/>
      </w:rPr>
      <w:t>SEGURIDAD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6935"/>
    <w:rsid w:val="00010155"/>
    <w:rsid w:val="00025DB7"/>
    <w:rsid w:val="000307B5"/>
    <w:rsid w:val="00032D4C"/>
    <w:rsid w:val="00052731"/>
    <w:rsid w:val="000602E0"/>
    <w:rsid w:val="000647AB"/>
    <w:rsid w:val="000761D2"/>
    <w:rsid w:val="00086927"/>
    <w:rsid w:val="00094ED3"/>
    <w:rsid w:val="000A7E06"/>
    <w:rsid w:val="000D2685"/>
    <w:rsid w:val="000D374F"/>
    <w:rsid w:val="000E1BA6"/>
    <w:rsid w:val="000E76A8"/>
    <w:rsid w:val="000F1978"/>
    <w:rsid w:val="00115789"/>
    <w:rsid w:val="001160F1"/>
    <w:rsid w:val="00120D2C"/>
    <w:rsid w:val="001348C1"/>
    <w:rsid w:val="00147D9A"/>
    <w:rsid w:val="001502FA"/>
    <w:rsid w:val="00150CD8"/>
    <w:rsid w:val="001877A0"/>
    <w:rsid w:val="00197717"/>
    <w:rsid w:val="001A52CB"/>
    <w:rsid w:val="001A560F"/>
    <w:rsid w:val="001C5850"/>
    <w:rsid w:val="001D0E3A"/>
    <w:rsid w:val="001D3F97"/>
    <w:rsid w:val="001E5F6E"/>
    <w:rsid w:val="00210B58"/>
    <w:rsid w:val="00216515"/>
    <w:rsid w:val="002231C1"/>
    <w:rsid w:val="002239FB"/>
    <w:rsid w:val="002253E6"/>
    <w:rsid w:val="00225E7C"/>
    <w:rsid w:val="002346E2"/>
    <w:rsid w:val="00240CFA"/>
    <w:rsid w:val="002524D7"/>
    <w:rsid w:val="00273E08"/>
    <w:rsid w:val="00281575"/>
    <w:rsid w:val="00287D89"/>
    <w:rsid w:val="00297BF5"/>
    <w:rsid w:val="002A2954"/>
    <w:rsid w:val="002A547D"/>
    <w:rsid w:val="002B6A4A"/>
    <w:rsid w:val="002E7E04"/>
    <w:rsid w:val="002F2CB5"/>
    <w:rsid w:val="00335B2E"/>
    <w:rsid w:val="00354EA7"/>
    <w:rsid w:val="003577A9"/>
    <w:rsid w:val="00361FFE"/>
    <w:rsid w:val="0036572E"/>
    <w:rsid w:val="00375251"/>
    <w:rsid w:val="00377E9C"/>
    <w:rsid w:val="00395462"/>
    <w:rsid w:val="003A7AA5"/>
    <w:rsid w:val="003B3242"/>
    <w:rsid w:val="003F04DC"/>
    <w:rsid w:val="004104ED"/>
    <w:rsid w:val="00411A3A"/>
    <w:rsid w:val="0045074C"/>
    <w:rsid w:val="0045604D"/>
    <w:rsid w:val="004615D0"/>
    <w:rsid w:val="004622AE"/>
    <w:rsid w:val="0047685C"/>
    <w:rsid w:val="00481CD7"/>
    <w:rsid w:val="004976F3"/>
    <w:rsid w:val="004A152E"/>
    <w:rsid w:val="004B40C8"/>
    <w:rsid w:val="004B7023"/>
    <w:rsid w:val="004D2ACD"/>
    <w:rsid w:val="004F29A2"/>
    <w:rsid w:val="004F7BC9"/>
    <w:rsid w:val="00501A7D"/>
    <w:rsid w:val="00504B62"/>
    <w:rsid w:val="0051254C"/>
    <w:rsid w:val="00515026"/>
    <w:rsid w:val="00515B0D"/>
    <w:rsid w:val="00524A14"/>
    <w:rsid w:val="00533B2E"/>
    <w:rsid w:val="005358F3"/>
    <w:rsid w:val="0054373D"/>
    <w:rsid w:val="00557ADF"/>
    <w:rsid w:val="00577730"/>
    <w:rsid w:val="005C1232"/>
    <w:rsid w:val="005C5F32"/>
    <w:rsid w:val="005F5D6D"/>
    <w:rsid w:val="005F6CAC"/>
    <w:rsid w:val="0060173E"/>
    <w:rsid w:val="006123A7"/>
    <w:rsid w:val="0061593F"/>
    <w:rsid w:val="0062135F"/>
    <w:rsid w:val="006268C1"/>
    <w:rsid w:val="00641D0A"/>
    <w:rsid w:val="0065365E"/>
    <w:rsid w:val="00670605"/>
    <w:rsid w:val="00674A9D"/>
    <w:rsid w:val="006877AE"/>
    <w:rsid w:val="006A06E9"/>
    <w:rsid w:val="006A5C8D"/>
    <w:rsid w:val="006B6C7E"/>
    <w:rsid w:val="006C5E35"/>
    <w:rsid w:val="006E05FF"/>
    <w:rsid w:val="006F2FB2"/>
    <w:rsid w:val="006F3811"/>
    <w:rsid w:val="006F759F"/>
    <w:rsid w:val="007013CC"/>
    <w:rsid w:val="00701819"/>
    <w:rsid w:val="007021FE"/>
    <w:rsid w:val="00714A73"/>
    <w:rsid w:val="007242CE"/>
    <w:rsid w:val="007313C4"/>
    <w:rsid w:val="0073435E"/>
    <w:rsid w:val="00755F5F"/>
    <w:rsid w:val="00755F8D"/>
    <w:rsid w:val="00757CAC"/>
    <w:rsid w:val="00766C63"/>
    <w:rsid w:val="00767460"/>
    <w:rsid w:val="00795B75"/>
    <w:rsid w:val="007A08F4"/>
    <w:rsid w:val="007A63D2"/>
    <w:rsid w:val="007A7990"/>
    <w:rsid w:val="007B058A"/>
    <w:rsid w:val="007B3E49"/>
    <w:rsid w:val="007C0B07"/>
    <w:rsid w:val="007C4BEE"/>
    <w:rsid w:val="007E0CE7"/>
    <w:rsid w:val="007F280F"/>
    <w:rsid w:val="008052A8"/>
    <w:rsid w:val="00830EEF"/>
    <w:rsid w:val="00834570"/>
    <w:rsid w:val="00834D31"/>
    <w:rsid w:val="008512B7"/>
    <w:rsid w:val="00884093"/>
    <w:rsid w:val="00887C41"/>
    <w:rsid w:val="008956A4"/>
    <w:rsid w:val="008A0527"/>
    <w:rsid w:val="008E629A"/>
    <w:rsid w:val="00903DAA"/>
    <w:rsid w:val="009152A9"/>
    <w:rsid w:val="0091615D"/>
    <w:rsid w:val="00920F1A"/>
    <w:rsid w:val="00934482"/>
    <w:rsid w:val="009418E7"/>
    <w:rsid w:val="00954AF4"/>
    <w:rsid w:val="009565D6"/>
    <w:rsid w:val="00967A29"/>
    <w:rsid w:val="0097600D"/>
    <w:rsid w:val="00987846"/>
    <w:rsid w:val="00987CF2"/>
    <w:rsid w:val="00993122"/>
    <w:rsid w:val="009C61E6"/>
    <w:rsid w:val="009D269B"/>
    <w:rsid w:val="009D315D"/>
    <w:rsid w:val="009F6FD3"/>
    <w:rsid w:val="00A033E6"/>
    <w:rsid w:val="00A0539B"/>
    <w:rsid w:val="00A664A5"/>
    <w:rsid w:val="00A71522"/>
    <w:rsid w:val="00A81236"/>
    <w:rsid w:val="00A97D58"/>
    <w:rsid w:val="00AB492F"/>
    <w:rsid w:val="00AB5939"/>
    <w:rsid w:val="00AC1AAB"/>
    <w:rsid w:val="00AC6C32"/>
    <w:rsid w:val="00AD13F0"/>
    <w:rsid w:val="00AD2390"/>
    <w:rsid w:val="00AD34F9"/>
    <w:rsid w:val="00AE7BBD"/>
    <w:rsid w:val="00AF0B10"/>
    <w:rsid w:val="00AF0FFB"/>
    <w:rsid w:val="00AF13F3"/>
    <w:rsid w:val="00AF3B14"/>
    <w:rsid w:val="00B25E8F"/>
    <w:rsid w:val="00B5278D"/>
    <w:rsid w:val="00B6511F"/>
    <w:rsid w:val="00B7697F"/>
    <w:rsid w:val="00B7751C"/>
    <w:rsid w:val="00B836BD"/>
    <w:rsid w:val="00B85000"/>
    <w:rsid w:val="00B85795"/>
    <w:rsid w:val="00B87099"/>
    <w:rsid w:val="00BA0D81"/>
    <w:rsid w:val="00BA2B06"/>
    <w:rsid w:val="00BC2AF6"/>
    <w:rsid w:val="00BD4C01"/>
    <w:rsid w:val="00BD61B9"/>
    <w:rsid w:val="00BE5EAA"/>
    <w:rsid w:val="00C10F95"/>
    <w:rsid w:val="00C14137"/>
    <w:rsid w:val="00C30853"/>
    <w:rsid w:val="00C3201D"/>
    <w:rsid w:val="00C338E6"/>
    <w:rsid w:val="00C34DE0"/>
    <w:rsid w:val="00C66D09"/>
    <w:rsid w:val="00CA13F3"/>
    <w:rsid w:val="00CA7488"/>
    <w:rsid w:val="00CB5C98"/>
    <w:rsid w:val="00CD6E3E"/>
    <w:rsid w:val="00CE1CEA"/>
    <w:rsid w:val="00CF42D9"/>
    <w:rsid w:val="00D05985"/>
    <w:rsid w:val="00D17F96"/>
    <w:rsid w:val="00D25909"/>
    <w:rsid w:val="00D27C23"/>
    <w:rsid w:val="00D30B3B"/>
    <w:rsid w:val="00D328A0"/>
    <w:rsid w:val="00D41B4E"/>
    <w:rsid w:val="00D422BA"/>
    <w:rsid w:val="00D44D0F"/>
    <w:rsid w:val="00D51B9A"/>
    <w:rsid w:val="00D52E1C"/>
    <w:rsid w:val="00D62BAE"/>
    <w:rsid w:val="00D9436E"/>
    <w:rsid w:val="00DA22DE"/>
    <w:rsid w:val="00DB0A08"/>
    <w:rsid w:val="00DB3D80"/>
    <w:rsid w:val="00DB4EEB"/>
    <w:rsid w:val="00DC11C3"/>
    <w:rsid w:val="00DD5A9F"/>
    <w:rsid w:val="00DD5C8D"/>
    <w:rsid w:val="00DE00E1"/>
    <w:rsid w:val="00DE0915"/>
    <w:rsid w:val="00DE1E19"/>
    <w:rsid w:val="00DE238D"/>
    <w:rsid w:val="00E0058E"/>
    <w:rsid w:val="00E076ED"/>
    <w:rsid w:val="00E17429"/>
    <w:rsid w:val="00E233CD"/>
    <w:rsid w:val="00E35DDB"/>
    <w:rsid w:val="00E432C9"/>
    <w:rsid w:val="00E60CA0"/>
    <w:rsid w:val="00E94630"/>
    <w:rsid w:val="00EA6705"/>
    <w:rsid w:val="00EB4BEF"/>
    <w:rsid w:val="00EC29DA"/>
    <w:rsid w:val="00ED6457"/>
    <w:rsid w:val="00EE253D"/>
    <w:rsid w:val="00EF5152"/>
    <w:rsid w:val="00F1199A"/>
    <w:rsid w:val="00F12823"/>
    <w:rsid w:val="00F20AAC"/>
    <w:rsid w:val="00F23E7C"/>
    <w:rsid w:val="00F372E3"/>
    <w:rsid w:val="00F649C2"/>
    <w:rsid w:val="00F87840"/>
    <w:rsid w:val="00FB0A3D"/>
    <w:rsid w:val="00FC0D10"/>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8">
    <w:name w:val="s18"/>
    <w:basedOn w:val="Normal"/>
    <w:rsid w:val="0047685C"/>
    <w:pPr>
      <w:spacing w:before="100" w:beforeAutospacing="1" w:after="100" w:afterAutospacing="1"/>
    </w:pPr>
    <w:rPr>
      <w:rFonts w:eastAsiaTheme="minorEastAsia"/>
      <w:lang w:val="es-MX" w:eastAsia="es-MX"/>
    </w:rPr>
  </w:style>
  <w:style w:type="character" w:customStyle="1" w:styleId="s14">
    <w:name w:val="s14"/>
    <w:basedOn w:val="Fuentedeprrafopredeter"/>
    <w:rsid w:val="0047685C"/>
  </w:style>
  <w:style w:type="character" w:customStyle="1" w:styleId="s19">
    <w:name w:val="s19"/>
    <w:basedOn w:val="Fuentedeprrafopredeter"/>
    <w:rsid w:val="0047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3214446">
          <w:marLeft w:val="0"/>
          <w:marRight w:val="0"/>
          <w:marTop w:val="0"/>
          <w:marBottom w:val="0"/>
          <w:divBdr>
            <w:top w:val="none" w:sz="0" w:space="0" w:color="auto"/>
            <w:left w:val="none" w:sz="0" w:space="0" w:color="auto"/>
            <w:bottom w:val="none" w:sz="0" w:space="0" w:color="auto"/>
            <w:right w:val="none" w:sz="0" w:space="0" w:color="auto"/>
          </w:divBdr>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5</cp:revision>
  <cp:lastPrinted>2020-09-03T19:35:00Z</cp:lastPrinted>
  <dcterms:created xsi:type="dcterms:W3CDTF">2020-11-19T21:37:00Z</dcterms:created>
  <dcterms:modified xsi:type="dcterms:W3CDTF">2021-02-02T22:43:00Z</dcterms:modified>
</cp:coreProperties>
</file>