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B650" w14:textId="77777777" w:rsidR="004B4916" w:rsidRPr="004A7B39" w:rsidRDefault="004B4916" w:rsidP="001608CE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</w:p>
    <w:p w14:paraId="0F758F7C" w14:textId="0F60956A" w:rsidR="00D859B8" w:rsidRPr="004A7B39" w:rsidRDefault="00D859B8" w:rsidP="001608CE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  <w:r w:rsidRPr="004A7B39">
        <w:rPr>
          <w:rFonts w:ascii="Arial" w:hAnsi="Arial" w:cs="Arial"/>
          <w:b/>
          <w:bCs/>
          <w:sz w:val="32"/>
          <w:szCs w:val="32"/>
        </w:rPr>
        <w:t xml:space="preserve">CIUDADANOS DIPUTADOS INTEGRANTES DE LA </w:t>
      </w:r>
    </w:p>
    <w:p w14:paraId="3B6B6A21" w14:textId="77777777" w:rsidR="00D859B8" w:rsidRPr="004A7B39" w:rsidRDefault="00D859B8" w:rsidP="001608CE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  <w:r w:rsidRPr="004A7B39">
        <w:rPr>
          <w:rFonts w:ascii="Arial" w:hAnsi="Arial" w:cs="Arial"/>
          <w:b/>
          <w:bCs/>
          <w:sz w:val="32"/>
          <w:szCs w:val="32"/>
        </w:rPr>
        <w:t xml:space="preserve">COMISIÓN PERMANENTE DE LA LXI LEGISLATURA </w:t>
      </w:r>
    </w:p>
    <w:p w14:paraId="5AACD44C" w14:textId="2C0E4B4C" w:rsidR="00D859B8" w:rsidRPr="004A7B39" w:rsidRDefault="00D859B8" w:rsidP="001608CE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  <w:r w:rsidRPr="004A7B39">
        <w:rPr>
          <w:rFonts w:ascii="Arial" w:hAnsi="Arial" w:cs="Arial"/>
          <w:b/>
          <w:bCs/>
          <w:sz w:val="32"/>
          <w:szCs w:val="32"/>
        </w:rPr>
        <w:t xml:space="preserve">DEL HONORABLE CONGRESO DEL ESTADO LIBRE Y SOBERANO DE PUEBLA </w:t>
      </w:r>
    </w:p>
    <w:p w14:paraId="025EA862" w14:textId="22D34912" w:rsidR="00D859B8" w:rsidRPr="004A7B39" w:rsidRDefault="00D859B8" w:rsidP="001608CE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  <w:r w:rsidRPr="004A7B39">
        <w:rPr>
          <w:rFonts w:ascii="Arial" w:hAnsi="Arial" w:cs="Arial"/>
          <w:b/>
          <w:bCs/>
          <w:sz w:val="32"/>
          <w:szCs w:val="32"/>
        </w:rPr>
        <w:t>P R E S E N T E</w:t>
      </w:r>
    </w:p>
    <w:p w14:paraId="1EA707DD" w14:textId="77777777" w:rsidR="00D859B8" w:rsidRPr="004A7B39" w:rsidRDefault="00D859B8" w:rsidP="001608CE">
      <w:pPr>
        <w:jc w:val="both"/>
        <w:rPr>
          <w:rFonts w:ascii="Arial" w:hAnsi="Arial" w:cs="Arial"/>
          <w:sz w:val="32"/>
          <w:szCs w:val="32"/>
        </w:rPr>
      </w:pPr>
    </w:p>
    <w:p w14:paraId="54D109EF" w14:textId="77777777" w:rsidR="00D859B8" w:rsidRPr="004A7B39" w:rsidRDefault="00D859B8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t xml:space="preserve">Las suscrita Diputada Isabel Merlo Talavera, a nombre del Grupo Legislativo del PRI de la LXI Legislatura del Honorable Congreso del Estado, con fundamento en lo dispuesto por los artículos 2 fracción XIX, 44 fracción II, 84, 134 y 135 de la Ley Orgánica del Poder Legislativo del Estado Libre y Soberano de Puebla; 120 fracción VI y 146 del Reglamento Interior del Honorable Congreso del Estado Libre y Soberano de Puebla, sometemos a consideración de este Honorable Cuerpo Colegiado el presente Punto de Acuerdo, conforme a los siguientes: </w:t>
      </w:r>
    </w:p>
    <w:p w14:paraId="5F4340AD" w14:textId="727705FD" w:rsidR="00646F60" w:rsidRPr="004A7B39" w:rsidRDefault="00D859B8" w:rsidP="001608CE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4A7B39">
        <w:rPr>
          <w:rFonts w:ascii="Arial" w:hAnsi="Arial" w:cs="Arial"/>
          <w:b/>
          <w:bCs/>
          <w:sz w:val="32"/>
          <w:szCs w:val="32"/>
        </w:rPr>
        <w:t>C O N S I D E R A N D O S</w:t>
      </w:r>
    </w:p>
    <w:p w14:paraId="5B2DB7E4" w14:textId="17F1C8EF" w:rsidR="00D859B8" w:rsidRPr="004A7B39" w:rsidRDefault="00D859B8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t xml:space="preserve">LA violencia en todo el país ha incrementado exponencialmente, Puebla </w:t>
      </w:r>
      <w:r w:rsidR="00894714" w:rsidRPr="004A7B39">
        <w:rPr>
          <w:rFonts w:ascii="Arial" w:hAnsi="Arial" w:cs="Arial"/>
          <w:sz w:val="32"/>
          <w:szCs w:val="32"/>
        </w:rPr>
        <w:t xml:space="preserve">no es ajena a este flagelo social, sin </w:t>
      </w:r>
      <w:proofErr w:type="gramStart"/>
      <w:r w:rsidR="00894714" w:rsidRPr="004A7B39">
        <w:rPr>
          <w:rFonts w:ascii="Arial" w:hAnsi="Arial" w:cs="Arial"/>
          <w:sz w:val="32"/>
          <w:szCs w:val="32"/>
        </w:rPr>
        <w:t>embargo</w:t>
      </w:r>
      <w:proofErr w:type="gramEnd"/>
      <w:r w:rsidR="00894714" w:rsidRPr="004A7B39">
        <w:rPr>
          <w:rFonts w:ascii="Arial" w:hAnsi="Arial" w:cs="Arial"/>
          <w:sz w:val="32"/>
          <w:szCs w:val="32"/>
        </w:rPr>
        <w:t xml:space="preserve"> es tarea de todas y todos los tomadores de decisiones colaborar de manera propositiva para abatir los índices de violencia y homicidios en el país. </w:t>
      </w:r>
    </w:p>
    <w:p w14:paraId="31B625DB" w14:textId="3B2578BB" w:rsidR="00894714" w:rsidRPr="004A7B39" w:rsidRDefault="00894714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t xml:space="preserve">La violencia contra las mujeres y principalmente la violencia feminicida es un tema que nos preocupa y ocupa en gran medida. </w:t>
      </w:r>
    </w:p>
    <w:p w14:paraId="279583EA" w14:textId="736C14BF" w:rsidR="00894714" w:rsidRPr="004A7B39" w:rsidRDefault="00894714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t xml:space="preserve">Tenemos muy reciente el caso </w:t>
      </w:r>
      <w:proofErr w:type="spellStart"/>
      <w:r w:rsidRPr="004A7B39">
        <w:rPr>
          <w:rFonts w:ascii="Arial" w:hAnsi="Arial" w:cs="Arial"/>
          <w:sz w:val="32"/>
          <w:szCs w:val="32"/>
        </w:rPr>
        <w:t>Debanhi</w:t>
      </w:r>
      <w:proofErr w:type="spellEnd"/>
      <w:r w:rsidRPr="004A7B39">
        <w:rPr>
          <w:rFonts w:ascii="Arial" w:hAnsi="Arial" w:cs="Arial"/>
          <w:sz w:val="32"/>
          <w:szCs w:val="32"/>
        </w:rPr>
        <w:t xml:space="preserve"> en N</w:t>
      </w:r>
      <w:r w:rsidR="00C555C6" w:rsidRPr="004A7B39">
        <w:rPr>
          <w:rFonts w:ascii="Arial" w:hAnsi="Arial" w:cs="Arial"/>
          <w:sz w:val="32"/>
          <w:szCs w:val="32"/>
        </w:rPr>
        <w:t xml:space="preserve">uevo </w:t>
      </w:r>
      <w:r w:rsidRPr="004A7B39">
        <w:rPr>
          <w:rFonts w:ascii="Arial" w:hAnsi="Arial" w:cs="Arial"/>
          <w:sz w:val="32"/>
          <w:szCs w:val="32"/>
        </w:rPr>
        <w:t>L</w:t>
      </w:r>
      <w:r w:rsidR="00C555C6" w:rsidRPr="004A7B39">
        <w:rPr>
          <w:rFonts w:ascii="Arial" w:hAnsi="Arial" w:cs="Arial"/>
          <w:sz w:val="32"/>
          <w:szCs w:val="32"/>
        </w:rPr>
        <w:t>eón</w:t>
      </w:r>
      <w:r w:rsidRPr="004A7B39">
        <w:rPr>
          <w:rFonts w:ascii="Arial" w:hAnsi="Arial" w:cs="Arial"/>
          <w:sz w:val="32"/>
          <w:szCs w:val="32"/>
        </w:rPr>
        <w:t xml:space="preserve">, sin </w:t>
      </w:r>
      <w:proofErr w:type="gramStart"/>
      <w:r w:rsidRPr="004A7B39">
        <w:rPr>
          <w:rFonts w:ascii="Arial" w:hAnsi="Arial" w:cs="Arial"/>
          <w:sz w:val="32"/>
          <w:szCs w:val="32"/>
        </w:rPr>
        <w:t>embargo</w:t>
      </w:r>
      <w:proofErr w:type="gramEnd"/>
      <w:r w:rsidRPr="004A7B39">
        <w:rPr>
          <w:rFonts w:ascii="Arial" w:hAnsi="Arial" w:cs="Arial"/>
          <w:sz w:val="32"/>
          <w:szCs w:val="32"/>
        </w:rPr>
        <w:t xml:space="preserve"> en ese proceso de búsqueda que terminó con la recuperación de su cuerpo sin vida, se encontraron los cuerpos de </w:t>
      </w:r>
      <w:r w:rsidR="00C555C6" w:rsidRPr="004A7B39">
        <w:rPr>
          <w:rFonts w:ascii="Arial" w:hAnsi="Arial" w:cs="Arial"/>
          <w:sz w:val="32"/>
          <w:szCs w:val="32"/>
        </w:rPr>
        <w:t>otras</w:t>
      </w:r>
      <w:r w:rsidRPr="004A7B39">
        <w:rPr>
          <w:rFonts w:ascii="Arial" w:hAnsi="Arial" w:cs="Arial"/>
          <w:sz w:val="32"/>
          <w:szCs w:val="32"/>
        </w:rPr>
        <w:t xml:space="preserve"> mujeres más en la región. Por lo que es pertinente </w:t>
      </w:r>
      <w:r w:rsidRPr="004A7B39">
        <w:rPr>
          <w:rFonts w:ascii="Arial" w:hAnsi="Arial" w:cs="Arial"/>
          <w:sz w:val="32"/>
          <w:szCs w:val="32"/>
        </w:rPr>
        <w:lastRenderedPageBreak/>
        <w:t>tomar medidas preventivas</w:t>
      </w:r>
      <w:r w:rsidR="00C555C6" w:rsidRPr="004A7B39">
        <w:rPr>
          <w:rFonts w:ascii="Arial" w:hAnsi="Arial" w:cs="Arial"/>
          <w:sz w:val="32"/>
          <w:szCs w:val="32"/>
        </w:rPr>
        <w:t xml:space="preserve"> en todo el país y a nosotros nos corresponde tener acciones en nuestra entidad federativa</w:t>
      </w:r>
      <w:r w:rsidRPr="004A7B39">
        <w:rPr>
          <w:rFonts w:ascii="Arial" w:hAnsi="Arial" w:cs="Arial"/>
          <w:sz w:val="32"/>
          <w:szCs w:val="32"/>
        </w:rPr>
        <w:t xml:space="preserve">. </w:t>
      </w:r>
    </w:p>
    <w:p w14:paraId="7887A20F" w14:textId="77777777" w:rsidR="00C555C6" w:rsidRPr="004A7B39" w:rsidRDefault="00894714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t xml:space="preserve">Los medios y herramientas tecnológicas al </w:t>
      </w:r>
      <w:r w:rsidR="00C555C6" w:rsidRPr="004A7B39">
        <w:rPr>
          <w:rFonts w:ascii="Arial" w:hAnsi="Arial" w:cs="Arial"/>
          <w:sz w:val="32"/>
          <w:szCs w:val="32"/>
        </w:rPr>
        <w:t>alcance</w:t>
      </w:r>
      <w:r w:rsidRPr="004A7B39">
        <w:rPr>
          <w:rFonts w:ascii="Arial" w:hAnsi="Arial" w:cs="Arial"/>
          <w:sz w:val="32"/>
          <w:szCs w:val="32"/>
        </w:rPr>
        <w:t xml:space="preserve"> jugaron un papel muy importante en este proceso de búsqueda. Que fue relativamente rápido, sin </w:t>
      </w:r>
      <w:r w:rsidR="00C555C6" w:rsidRPr="004A7B39">
        <w:rPr>
          <w:rFonts w:ascii="Arial" w:hAnsi="Arial" w:cs="Arial"/>
          <w:sz w:val="32"/>
          <w:szCs w:val="32"/>
        </w:rPr>
        <w:t>embargo,</w:t>
      </w:r>
      <w:r w:rsidRPr="004A7B39">
        <w:rPr>
          <w:rFonts w:ascii="Arial" w:hAnsi="Arial" w:cs="Arial"/>
          <w:sz w:val="32"/>
          <w:szCs w:val="32"/>
        </w:rPr>
        <w:t xml:space="preserve"> no siempre es así, hay muchas familias que </w:t>
      </w:r>
      <w:r w:rsidR="00C555C6" w:rsidRPr="004A7B39">
        <w:rPr>
          <w:rFonts w:ascii="Arial" w:hAnsi="Arial" w:cs="Arial"/>
          <w:sz w:val="32"/>
          <w:szCs w:val="32"/>
        </w:rPr>
        <w:t xml:space="preserve">llevan años y </w:t>
      </w:r>
      <w:r w:rsidRPr="004A7B39">
        <w:rPr>
          <w:rFonts w:ascii="Arial" w:hAnsi="Arial" w:cs="Arial"/>
          <w:sz w:val="32"/>
          <w:szCs w:val="32"/>
        </w:rPr>
        <w:t xml:space="preserve">siguen buscando a sus hijas, madres, hermanas, sin tener resultados positivos. </w:t>
      </w:r>
    </w:p>
    <w:p w14:paraId="74D3F52B" w14:textId="69DEE05A" w:rsidR="00894714" w:rsidRPr="004A7B39" w:rsidRDefault="00894714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t xml:space="preserve">Por ello debemos trabajar tanto en lo preventivo, para evitar la desaparición y asesinato de mujeres, pero también en la procuración de justicia, dotando de herramientas a los órganos </w:t>
      </w:r>
      <w:r w:rsidR="00A278C5" w:rsidRPr="004A7B39">
        <w:rPr>
          <w:rFonts w:ascii="Arial" w:hAnsi="Arial" w:cs="Arial"/>
          <w:sz w:val="32"/>
          <w:szCs w:val="32"/>
        </w:rPr>
        <w:t>de gobierno, para investigar en caso de que la prevención no haya dado resultados y nos encontremos frente a</w:t>
      </w:r>
      <w:r w:rsidR="00C555C6" w:rsidRPr="004A7B39">
        <w:rPr>
          <w:rFonts w:ascii="Arial" w:hAnsi="Arial" w:cs="Arial"/>
          <w:sz w:val="32"/>
          <w:szCs w:val="32"/>
        </w:rPr>
        <w:t xml:space="preserve"> la comisión de</w:t>
      </w:r>
      <w:r w:rsidR="00A278C5" w:rsidRPr="004A7B39">
        <w:rPr>
          <w:rFonts w:ascii="Arial" w:hAnsi="Arial" w:cs="Arial"/>
          <w:sz w:val="32"/>
          <w:szCs w:val="32"/>
        </w:rPr>
        <w:t xml:space="preserve"> un delito. </w:t>
      </w:r>
    </w:p>
    <w:p w14:paraId="576767B1" w14:textId="02C81155" w:rsidR="00A278C5" w:rsidRPr="004A7B39" w:rsidRDefault="00C555C6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t>E</w:t>
      </w:r>
      <w:r w:rsidR="00A278C5" w:rsidRPr="004A7B39">
        <w:rPr>
          <w:rFonts w:ascii="Arial" w:hAnsi="Arial" w:cs="Arial"/>
          <w:sz w:val="32"/>
          <w:szCs w:val="32"/>
        </w:rPr>
        <w:t xml:space="preserve">n Puebla se han implementado medidas preventivas muy oportunas, como son las cámaras de video vigilancia colocadas al interior de los transportes públicos concesionados. Esta medida sin duda ayuda a brindar transporte seguro a las mujeres. </w:t>
      </w:r>
    </w:p>
    <w:p w14:paraId="7F6B087E" w14:textId="504D938A" w:rsidR="00A278C5" w:rsidRPr="004A7B39" w:rsidRDefault="00A278C5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t xml:space="preserve">Las herramientas tecnológicas juegan un papel preponderante en estos tiempos y pueden hacer la diferencia para esclarecer una investigación, para encontrar alguna persona desaparecida o para encontrar a quienes hayan cometido un acto delictivo, en este caso, un feminicidio. </w:t>
      </w:r>
    </w:p>
    <w:p w14:paraId="4B21EEAD" w14:textId="60B1C9E1" w:rsidR="00C555C6" w:rsidRPr="004A7B39" w:rsidRDefault="00C555C6" w:rsidP="001608CE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4A7B39">
        <w:rPr>
          <w:rFonts w:ascii="Arial" w:hAnsi="Arial" w:cs="Arial"/>
          <w:b/>
          <w:bCs/>
          <w:sz w:val="32"/>
          <w:szCs w:val="32"/>
        </w:rPr>
        <w:t xml:space="preserve">Sin embargo, considero pertinente que se explore a través de la Secretaría de Seguridad </w:t>
      </w:r>
      <w:r w:rsidR="001608CE" w:rsidRPr="004A7B39">
        <w:rPr>
          <w:rFonts w:ascii="Arial" w:hAnsi="Arial" w:cs="Arial"/>
          <w:b/>
          <w:bCs/>
          <w:sz w:val="32"/>
          <w:szCs w:val="32"/>
        </w:rPr>
        <w:t xml:space="preserve">Pública en el Estado, </w:t>
      </w:r>
      <w:r w:rsidRPr="004A7B39">
        <w:rPr>
          <w:rFonts w:ascii="Arial" w:hAnsi="Arial" w:cs="Arial"/>
          <w:b/>
          <w:bCs/>
          <w:sz w:val="32"/>
          <w:szCs w:val="32"/>
        </w:rPr>
        <w:t xml:space="preserve">la posibilidad de que se emitan protocolos de seguridad </w:t>
      </w:r>
      <w:r w:rsidR="001608CE" w:rsidRPr="004A7B39">
        <w:rPr>
          <w:rFonts w:ascii="Arial" w:hAnsi="Arial" w:cs="Arial"/>
          <w:b/>
          <w:bCs/>
          <w:sz w:val="32"/>
          <w:szCs w:val="32"/>
        </w:rPr>
        <w:t xml:space="preserve">y se coloquen cámaras de videovigilancia </w:t>
      </w:r>
      <w:r w:rsidRPr="004A7B39">
        <w:rPr>
          <w:rFonts w:ascii="Arial" w:hAnsi="Arial" w:cs="Arial"/>
          <w:b/>
          <w:bCs/>
          <w:sz w:val="32"/>
          <w:szCs w:val="32"/>
        </w:rPr>
        <w:t>en lugares que pudieran generar riesgos, como bares, hoteles, moteles, centros de espectáculos, entre otro</w:t>
      </w:r>
      <w:r w:rsidR="001608CE" w:rsidRPr="004A7B39">
        <w:rPr>
          <w:rFonts w:ascii="Arial" w:hAnsi="Arial" w:cs="Arial"/>
          <w:b/>
          <w:bCs/>
          <w:sz w:val="32"/>
          <w:szCs w:val="32"/>
        </w:rPr>
        <w:t xml:space="preserve">s, así como se </w:t>
      </w:r>
      <w:r w:rsidR="001608CE" w:rsidRPr="004A7B39">
        <w:rPr>
          <w:rFonts w:ascii="Arial" w:hAnsi="Arial" w:cs="Arial"/>
          <w:b/>
          <w:bCs/>
          <w:sz w:val="32"/>
          <w:szCs w:val="32"/>
        </w:rPr>
        <w:lastRenderedPageBreak/>
        <w:t xml:space="preserve">establezcan tiempos para que se resguarden los videos en los discos duros de dichos lugares. </w:t>
      </w:r>
    </w:p>
    <w:p w14:paraId="31E03E80" w14:textId="72372717" w:rsidR="001608CE" w:rsidRPr="004A7B39" w:rsidRDefault="002C2E35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t>La Secretaría de Seguridad Pública del Estado, tiene diversas facultades</w:t>
      </w:r>
      <w:r w:rsidR="00272843" w:rsidRPr="004A7B39">
        <w:rPr>
          <w:rFonts w:ascii="Arial" w:hAnsi="Arial" w:cs="Arial"/>
          <w:sz w:val="32"/>
          <w:szCs w:val="32"/>
        </w:rPr>
        <w:t xml:space="preserve"> y de esas facultades se desprende que sí es posible que emita protocolos y recomendaciones respecto a los establecimientos mercantiles que deben tener de manera obligatoria cámaras de videovigilancia y el tiempo que deben guardar los videos</w:t>
      </w:r>
      <w:r w:rsidRPr="004A7B39">
        <w:rPr>
          <w:rFonts w:ascii="Arial" w:hAnsi="Arial" w:cs="Arial"/>
          <w:sz w:val="32"/>
          <w:szCs w:val="32"/>
        </w:rPr>
        <w:t>, de entre las que destacan… d</w:t>
      </w:r>
      <w:r w:rsidR="001608CE" w:rsidRPr="004A7B39">
        <w:rPr>
          <w:rFonts w:ascii="Arial" w:hAnsi="Arial" w:cs="Arial"/>
          <w:sz w:val="32"/>
          <w:szCs w:val="32"/>
        </w:rPr>
        <w:t xml:space="preserve">e conformidad con la Ley Orgánica de la Administración Pública del Estado de Puebla, </w:t>
      </w:r>
      <w:r w:rsidR="002B7F2C" w:rsidRPr="004A7B39">
        <w:rPr>
          <w:rFonts w:ascii="Arial" w:hAnsi="Arial" w:cs="Arial"/>
          <w:sz w:val="32"/>
          <w:szCs w:val="32"/>
        </w:rPr>
        <w:t xml:space="preserve">en el </w:t>
      </w:r>
      <w:r w:rsidR="001608CE" w:rsidRPr="004A7B39">
        <w:rPr>
          <w:rFonts w:ascii="Arial" w:hAnsi="Arial" w:cs="Arial"/>
          <w:sz w:val="32"/>
          <w:szCs w:val="32"/>
        </w:rPr>
        <w:t>ARTÍCULO 46.- A la Secretaría</w:t>
      </w:r>
      <w:r w:rsidR="009923CE" w:rsidRPr="004A7B39">
        <w:rPr>
          <w:rFonts w:ascii="Arial" w:hAnsi="Arial" w:cs="Arial"/>
          <w:sz w:val="32"/>
          <w:szCs w:val="32"/>
        </w:rPr>
        <w:t xml:space="preserve"> </w:t>
      </w:r>
      <w:r w:rsidR="001608CE" w:rsidRPr="004A7B39">
        <w:rPr>
          <w:rFonts w:ascii="Arial" w:hAnsi="Arial" w:cs="Arial"/>
          <w:sz w:val="32"/>
          <w:szCs w:val="32"/>
        </w:rPr>
        <w:t>de Seguridad Pública le corresponde el despacho de los siguientes asuntos:</w:t>
      </w:r>
    </w:p>
    <w:p w14:paraId="2CC3F3CF" w14:textId="2489C615" w:rsidR="001608CE" w:rsidRPr="004A7B39" w:rsidRDefault="001608CE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t xml:space="preserve">I.- Realizar en el ámbito territorial del estado las funciones de prevención, incluyendo la investigación para hacerla efectiva, y de </w:t>
      </w:r>
    </w:p>
    <w:p w14:paraId="1F095D81" w14:textId="6F93B963" w:rsidR="001608CE" w:rsidRPr="004A7B39" w:rsidRDefault="001608CE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t xml:space="preserve">reacción dirigidas a salvaguardar la integridad y patrimonio de las personas; prevenir la comisión de delitos e infracciones a las disposiciones gubernativas y de policía, así como a preservar las </w:t>
      </w:r>
    </w:p>
    <w:p w14:paraId="4554D3F6" w14:textId="6C888E0E" w:rsidR="001608CE" w:rsidRPr="004A7B39" w:rsidRDefault="001608CE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t>libertades, el orden y la paz públicos, en el ámbito de su competencia;</w:t>
      </w:r>
    </w:p>
    <w:p w14:paraId="06854166" w14:textId="4B6C3565" w:rsidR="001608CE" w:rsidRPr="004A7B39" w:rsidRDefault="001608CE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t>II.- Proponer las políticas de seguridad pública y de política criminal del estado con perspectiva de género, que comprenda las normas, instrumentos, medidas y acciones convenientes para prevenir y combatir la comisión de delitos, garantizando la congruencia de tales políticas entre las dependencias de la Administración Pública del Estado y con los otros ámbitos de gobierno;</w:t>
      </w:r>
    </w:p>
    <w:p w14:paraId="52A9B7E2" w14:textId="77777777" w:rsidR="001608CE" w:rsidRPr="004A7B39" w:rsidRDefault="001608CE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lastRenderedPageBreak/>
        <w:t xml:space="preserve">VII.- Proponer en el seno del Consejo Estatal de Coordinación del </w:t>
      </w:r>
    </w:p>
    <w:p w14:paraId="54003629" w14:textId="7D4F76AC" w:rsidR="001608CE" w:rsidRPr="004A7B39" w:rsidRDefault="001608CE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t>Sistema Nacional de Seguridad Pública políticas, acciones y estrategias de coordinación en materia de política criminal para el territorio del estado;</w:t>
      </w:r>
    </w:p>
    <w:p w14:paraId="71BE5388" w14:textId="4DBEACBD" w:rsidR="001608CE" w:rsidRPr="004A7B39" w:rsidRDefault="001608CE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t xml:space="preserve">X.- Promover, fomentar y organizar la participación ciudadana en la formulación y seguimiento de planes y programas de seguridad </w:t>
      </w:r>
    </w:p>
    <w:p w14:paraId="2D976BD6" w14:textId="77777777" w:rsidR="001608CE" w:rsidRPr="004A7B39" w:rsidRDefault="001608CE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t xml:space="preserve">pública y prevención delictiva en el ámbito estatal y, por conducto </w:t>
      </w:r>
    </w:p>
    <w:p w14:paraId="2510CC15" w14:textId="77777777" w:rsidR="001608CE" w:rsidRPr="004A7B39" w:rsidRDefault="001608CE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t>del Sistema Nacional de Seguridad Pública, en el ámbito federal;</w:t>
      </w:r>
    </w:p>
    <w:p w14:paraId="3C2A1A52" w14:textId="77777777" w:rsidR="001608CE" w:rsidRPr="004A7B39" w:rsidRDefault="001608CE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t xml:space="preserve">XXXV.- Organizar, consolidar y operar el Sistema Estatal de </w:t>
      </w:r>
    </w:p>
    <w:p w14:paraId="364081C6" w14:textId="77777777" w:rsidR="001608CE" w:rsidRPr="004A7B39" w:rsidRDefault="001608CE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t>Inteligencia para la Prevención del Delito;</w:t>
      </w:r>
    </w:p>
    <w:p w14:paraId="63BF556E" w14:textId="2C1A9FBD" w:rsidR="001608CE" w:rsidRPr="004A7B39" w:rsidRDefault="001608CE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t xml:space="preserve">XXXVI.- Intervenir en lo relacionado con la regulación de los servicios de seguridad privada prestados por personas </w:t>
      </w:r>
      <w:proofErr w:type="spellStart"/>
      <w:r w:rsidR="00F31911" w:rsidRPr="004A7B39">
        <w:rPr>
          <w:rFonts w:ascii="Arial" w:hAnsi="Arial" w:cs="Arial"/>
          <w:sz w:val="32"/>
          <w:szCs w:val="32"/>
        </w:rPr>
        <w:t>F</w:t>
      </w:r>
      <w:r w:rsidRPr="004A7B39">
        <w:rPr>
          <w:rFonts w:ascii="Arial" w:hAnsi="Arial" w:cs="Arial"/>
          <w:sz w:val="32"/>
          <w:szCs w:val="32"/>
        </w:rPr>
        <w:t>sicas</w:t>
      </w:r>
      <w:proofErr w:type="spellEnd"/>
      <w:r w:rsidRPr="004A7B39">
        <w:rPr>
          <w:rFonts w:ascii="Arial" w:hAnsi="Arial" w:cs="Arial"/>
          <w:sz w:val="32"/>
          <w:szCs w:val="32"/>
        </w:rPr>
        <w:t xml:space="preserve"> y jurídicas, en los términos de la ley de la materia, y</w:t>
      </w:r>
    </w:p>
    <w:p w14:paraId="1EC5B8D9" w14:textId="146EE4CA" w:rsidR="001608CE" w:rsidRPr="004A7B39" w:rsidRDefault="001608CE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t>XXXVII.- Los demás que le atribuyan las leyes, reglamentos, decretos, convenios, acuerdos y otras disposiciones vigentes en el Estado</w:t>
      </w:r>
    </w:p>
    <w:p w14:paraId="453ACCE6" w14:textId="1AA32134" w:rsidR="00D859B8" w:rsidRPr="004A7B39" w:rsidRDefault="00A278C5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t>Por</w:t>
      </w:r>
      <w:r w:rsidR="004A7B39" w:rsidRPr="004A7B39">
        <w:rPr>
          <w:rFonts w:ascii="Arial" w:hAnsi="Arial" w:cs="Arial"/>
          <w:sz w:val="32"/>
          <w:szCs w:val="32"/>
        </w:rPr>
        <w:t xml:space="preserve"> </w:t>
      </w:r>
      <w:r w:rsidR="00D859B8" w:rsidRPr="004A7B39">
        <w:rPr>
          <w:rFonts w:ascii="Arial" w:hAnsi="Arial" w:cs="Arial"/>
          <w:sz w:val="32"/>
          <w:szCs w:val="32"/>
        </w:rPr>
        <w:t>lo anteriormente expuesto y fundado, nos permitimos someter a consideración de esta Soberanía el siguiente:</w:t>
      </w:r>
    </w:p>
    <w:p w14:paraId="7F3D9031" w14:textId="77777777" w:rsidR="004A7B39" w:rsidRPr="004A7B39" w:rsidRDefault="004A7B39" w:rsidP="001608CE">
      <w:pPr>
        <w:jc w:val="both"/>
        <w:rPr>
          <w:rFonts w:ascii="Arial" w:hAnsi="Arial" w:cs="Arial"/>
          <w:sz w:val="32"/>
          <w:szCs w:val="32"/>
        </w:rPr>
      </w:pPr>
    </w:p>
    <w:p w14:paraId="5B9598E4" w14:textId="77777777" w:rsidR="004A7B39" w:rsidRDefault="004A7B3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7AB95A9C" w14:textId="061B2CE2" w:rsidR="00D859B8" w:rsidRPr="004A7B39" w:rsidRDefault="00D859B8" w:rsidP="001608CE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4A7B39">
        <w:rPr>
          <w:rFonts w:ascii="Arial" w:hAnsi="Arial" w:cs="Arial"/>
          <w:b/>
          <w:bCs/>
          <w:sz w:val="32"/>
          <w:szCs w:val="32"/>
        </w:rPr>
        <w:lastRenderedPageBreak/>
        <w:t xml:space="preserve"> A C U E R D O </w:t>
      </w:r>
    </w:p>
    <w:p w14:paraId="42C7CD48" w14:textId="77777777" w:rsidR="004A7B39" w:rsidRPr="004A7B39" w:rsidRDefault="004A7B39" w:rsidP="001608CE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7B59D63B" w14:textId="3E2B03DC" w:rsidR="00D859B8" w:rsidRPr="004A7B39" w:rsidRDefault="00AB2E5A" w:rsidP="001608CE">
      <w:pPr>
        <w:jc w:val="both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ÚNICO</w:t>
      </w:r>
      <w:r w:rsidR="00D859B8" w:rsidRPr="004A7B39">
        <w:rPr>
          <w:rFonts w:ascii="Arial" w:hAnsi="Arial" w:cs="Arial"/>
          <w:b/>
          <w:bCs/>
          <w:sz w:val="32"/>
          <w:szCs w:val="32"/>
        </w:rPr>
        <w:t>.-</w:t>
      </w:r>
      <w:proofErr w:type="gramEnd"/>
      <w:r w:rsidR="00D859B8" w:rsidRPr="004A7B39">
        <w:rPr>
          <w:rFonts w:ascii="Arial" w:hAnsi="Arial" w:cs="Arial"/>
          <w:b/>
          <w:bCs/>
          <w:sz w:val="32"/>
          <w:szCs w:val="32"/>
        </w:rPr>
        <w:t xml:space="preserve"> </w:t>
      </w:r>
      <w:r w:rsidR="00272843" w:rsidRPr="004A7B39">
        <w:rPr>
          <w:rFonts w:ascii="Arial" w:hAnsi="Arial" w:cs="Arial"/>
          <w:b/>
          <w:bCs/>
          <w:sz w:val="32"/>
          <w:szCs w:val="32"/>
        </w:rPr>
        <w:t xml:space="preserve">Se exhorta a la Secretaría de Seguridad Pública del Estado, para que emita un protocolo de actuación y recomendaciones para definir qué establecimientos mercantiles deberían contar con cámaras de videovigilancia y el tiempo que deben guardar dichos videos en sus discos duros, para en caso de ser necesario, coadyuvar con la Secretaría en procesos de investigación y prevención del delito. </w:t>
      </w:r>
    </w:p>
    <w:p w14:paraId="31A6E804" w14:textId="2EBF5085" w:rsidR="00D859B8" w:rsidRPr="004A7B39" w:rsidRDefault="00D859B8" w:rsidP="001608CE">
      <w:pPr>
        <w:jc w:val="both"/>
        <w:rPr>
          <w:rFonts w:ascii="Arial" w:hAnsi="Arial" w:cs="Arial"/>
          <w:sz w:val="32"/>
          <w:szCs w:val="32"/>
        </w:rPr>
      </w:pPr>
      <w:r w:rsidRPr="004A7B39">
        <w:rPr>
          <w:rFonts w:ascii="Arial" w:hAnsi="Arial" w:cs="Arial"/>
          <w:sz w:val="32"/>
          <w:szCs w:val="32"/>
        </w:rPr>
        <w:t>Notifíquese.</w:t>
      </w:r>
    </w:p>
    <w:p w14:paraId="7C80BE3A" w14:textId="77777777" w:rsidR="00D859B8" w:rsidRPr="004A7B39" w:rsidRDefault="00D859B8" w:rsidP="001608CE">
      <w:pPr>
        <w:jc w:val="both"/>
        <w:rPr>
          <w:rFonts w:ascii="Arial" w:hAnsi="Arial" w:cs="Arial"/>
          <w:sz w:val="32"/>
          <w:szCs w:val="32"/>
        </w:rPr>
      </w:pPr>
    </w:p>
    <w:p w14:paraId="3AB1A5CF" w14:textId="77777777" w:rsidR="00D859B8" w:rsidRPr="004A7B39" w:rsidRDefault="00D859B8" w:rsidP="001608CE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4A7B39">
        <w:rPr>
          <w:rFonts w:ascii="Arial" w:hAnsi="Arial" w:cs="Arial"/>
          <w:b/>
          <w:bCs/>
          <w:sz w:val="32"/>
          <w:szCs w:val="32"/>
        </w:rPr>
        <w:t xml:space="preserve"> A T E N T A M E N T E </w:t>
      </w:r>
    </w:p>
    <w:p w14:paraId="55B01658" w14:textId="722FCC58" w:rsidR="00D859B8" w:rsidRPr="004A7B39" w:rsidRDefault="00D859B8" w:rsidP="001608CE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4A7B39">
        <w:rPr>
          <w:rFonts w:ascii="Arial" w:hAnsi="Arial" w:cs="Arial"/>
          <w:b/>
          <w:bCs/>
          <w:sz w:val="32"/>
          <w:szCs w:val="32"/>
        </w:rPr>
        <w:t>CUATRO VECES HEROICA PUEBLA DE ZARAGOZA, A 25 DE ABRIL DE 2022</w:t>
      </w:r>
    </w:p>
    <w:sectPr w:rsidR="00D859B8" w:rsidRPr="004A7B3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BFD8" w14:textId="77777777" w:rsidR="00CD32C2" w:rsidRDefault="00CD32C2" w:rsidP="004B4916">
      <w:pPr>
        <w:spacing w:after="0" w:line="240" w:lineRule="auto"/>
      </w:pPr>
      <w:r>
        <w:separator/>
      </w:r>
    </w:p>
  </w:endnote>
  <w:endnote w:type="continuationSeparator" w:id="0">
    <w:p w14:paraId="744DA374" w14:textId="77777777" w:rsidR="00CD32C2" w:rsidRDefault="00CD32C2" w:rsidP="004B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0F56" w14:textId="77777777" w:rsidR="00CD32C2" w:rsidRDefault="00CD32C2" w:rsidP="004B4916">
      <w:pPr>
        <w:spacing w:after="0" w:line="240" w:lineRule="auto"/>
      </w:pPr>
      <w:r>
        <w:separator/>
      </w:r>
    </w:p>
  </w:footnote>
  <w:footnote w:type="continuationSeparator" w:id="0">
    <w:p w14:paraId="411E76EF" w14:textId="77777777" w:rsidR="00CD32C2" w:rsidRDefault="00CD32C2" w:rsidP="004B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4847" w14:textId="77777777" w:rsidR="004B4916" w:rsidRPr="003251AF" w:rsidRDefault="004B4916" w:rsidP="004B4916">
    <w:pPr>
      <w:pStyle w:val="Encabezado"/>
      <w:jc w:val="center"/>
      <w:rPr>
        <w:rFonts w:ascii="Edwardian Script ITC" w:hAnsi="Edwardian Script ITC"/>
        <w:b/>
        <w:sz w:val="52"/>
      </w:rPr>
    </w:pPr>
    <w:r>
      <w:rPr>
        <w:rFonts w:ascii="Edwardian Script ITC" w:hAnsi="Edwardian Script ITC"/>
        <w:b/>
        <w:noProof/>
        <w:sz w:val="52"/>
        <w:lang w:eastAsia="es-MX"/>
      </w:rPr>
      <w:drawing>
        <wp:anchor distT="0" distB="0" distL="114300" distR="114300" simplePos="0" relativeHeight="251660288" behindDoc="0" locked="0" layoutInCell="1" allowOverlap="1" wp14:anchorId="76609718" wp14:editId="7291629C">
          <wp:simplePos x="0" y="0"/>
          <wp:positionH relativeFrom="margin">
            <wp:posOffset>4625340</wp:posOffset>
          </wp:positionH>
          <wp:positionV relativeFrom="paragraph">
            <wp:posOffset>-167640</wp:posOffset>
          </wp:positionV>
          <wp:extent cx="1449966" cy="720000"/>
          <wp:effectExtent l="0" t="0" r="0" b="4445"/>
          <wp:wrapSquare wrapText="bothSides"/>
          <wp:docPr id="2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orma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1" t="15184" r="8099" b="28416"/>
                  <a:stretch/>
                </pic:blipFill>
                <pic:spPr bwMode="auto">
                  <a:xfrm>
                    <a:off x="0" y="0"/>
                    <a:ext cx="1449966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51AF">
      <w:rPr>
        <w:rFonts w:ascii="Edwardian Script ITC" w:hAnsi="Edwardian Script ITC"/>
        <w:b/>
        <w:noProof/>
        <w:sz w:val="52"/>
        <w:lang w:eastAsia="es-MX"/>
      </w:rPr>
      <w:drawing>
        <wp:anchor distT="0" distB="0" distL="114300" distR="114300" simplePos="0" relativeHeight="251659264" behindDoc="0" locked="0" layoutInCell="1" allowOverlap="1" wp14:anchorId="4E80F448" wp14:editId="44284081">
          <wp:simplePos x="0" y="0"/>
          <wp:positionH relativeFrom="margin">
            <wp:posOffset>-661035</wp:posOffset>
          </wp:positionH>
          <wp:positionV relativeFrom="paragraph">
            <wp:posOffset>-201930</wp:posOffset>
          </wp:positionV>
          <wp:extent cx="2070000" cy="720000"/>
          <wp:effectExtent l="0" t="0" r="6985" b="4445"/>
          <wp:wrapSquare wrapText="bothSides"/>
          <wp:docPr id="1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 con confianza media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3" t="8934" r="3937" b="10664"/>
                  <a:stretch/>
                </pic:blipFill>
                <pic:spPr bwMode="auto">
                  <a:xfrm>
                    <a:off x="0" y="0"/>
                    <a:ext cx="20700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51AF">
      <w:rPr>
        <w:rFonts w:ascii="Edwardian Script ITC" w:hAnsi="Edwardian Script ITC"/>
        <w:b/>
        <w:sz w:val="52"/>
      </w:rPr>
      <w:t>Isabel Merlo Talavera</w:t>
    </w:r>
  </w:p>
  <w:p w14:paraId="57C4EEB9" w14:textId="77777777" w:rsidR="004B4916" w:rsidRDefault="004B49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B8"/>
    <w:rsid w:val="001608CE"/>
    <w:rsid w:val="002377EF"/>
    <w:rsid w:val="00272843"/>
    <w:rsid w:val="002B7F2C"/>
    <w:rsid w:val="002C2E35"/>
    <w:rsid w:val="004A7B39"/>
    <w:rsid w:val="004B4916"/>
    <w:rsid w:val="0061606A"/>
    <w:rsid w:val="00646F60"/>
    <w:rsid w:val="00710089"/>
    <w:rsid w:val="008454FB"/>
    <w:rsid w:val="008572C1"/>
    <w:rsid w:val="00894714"/>
    <w:rsid w:val="009923CE"/>
    <w:rsid w:val="00A278C5"/>
    <w:rsid w:val="00AB2E5A"/>
    <w:rsid w:val="00B303B6"/>
    <w:rsid w:val="00C555C6"/>
    <w:rsid w:val="00CD32C2"/>
    <w:rsid w:val="00D859B8"/>
    <w:rsid w:val="00E64A5B"/>
    <w:rsid w:val="00F3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9E18"/>
  <w15:chartTrackingRefBased/>
  <w15:docId w15:val="{AC52F226-1851-45D6-9C3A-6B136C4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4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916"/>
  </w:style>
  <w:style w:type="paragraph" w:styleId="Piedepgina">
    <w:name w:val="footer"/>
    <w:basedOn w:val="Normal"/>
    <w:link w:val="PiedepginaCar"/>
    <w:uiPriority w:val="99"/>
    <w:unhideWhenUsed/>
    <w:rsid w:val="004B4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Dip. María Isabel Merlo Talavera</dc:creator>
  <cp:keywords/>
  <dc:description/>
  <cp:lastModifiedBy>Esteban Israel Mejía Romero</cp:lastModifiedBy>
  <cp:revision>2</cp:revision>
  <dcterms:created xsi:type="dcterms:W3CDTF">2022-05-03T14:04:00Z</dcterms:created>
  <dcterms:modified xsi:type="dcterms:W3CDTF">2022-05-03T14:04:00Z</dcterms:modified>
</cp:coreProperties>
</file>