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D63B" w14:textId="77777777" w:rsidR="006871A8" w:rsidRPr="00C75799" w:rsidRDefault="006871A8" w:rsidP="006871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Century Gothic" w:eastAsia="Arial Unicode MS" w:hAnsi="Century Gothic" w:cs="Arial"/>
          <w:b/>
          <w:color w:val="000000" w:themeColor="text1"/>
          <w:u w:color="000000"/>
          <w:bdr w:val="nil"/>
          <w:lang w:val="es-ES_tradnl" w:eastAsia="es-ES"/>
        </w:rPr>
      </w:pPr>
      <w:r w:rsidRPr="00C75799">
        <w:rPr>
          <w:rFonts w:ascii="Century Gothic" w:eastAsia="Arial Unicode MS" w:hAnsi="Century Gothic" w:cs="Arial"/>
          <w:b/>
          <w:color w:val="000000" w:themeColor="text1"/>
          <w:u w:color="000000"/>
          <w:bdr w:val="nil"/>
          <w:lang w:val="es-ES_tradnl" w:eastAsia="es-ES"/>
        </w:rPr>
        <w:t>CIUDADANOS DIPUTADOS INTEGRANTES</w:t>
      </w:r>
    </w:p>
    <w:p w14:paraId="473E7C2A" w14:textId="77777777" w:rsidR="006871A8" w:rsidRPr="00C75799" w:rsidRDefault="006871A8" w:rsidP="006871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Century Gothic" w:eastAsia="Arial Unicode MS" w:hAnsi="Century Gothic" w:cs="Arial"/>
          <w:b/>
          <w:color w:val="000000" w:themeColor="text1"/>
          <w:u w:color="000000"/>
          <w:bdr w:val="nil"/>
          <w:lang w:val="es-ES_tradnl" w:eastAsia="es-ES"/>
        </w:rPr>
      </w:pPr>
      <w:r w:rsidRPr="00C75799">
        <w:rPr>
          <w:rFonts w:ascii="Century Gothic" w:eastAsia="Arial Unicode MS" w:hAnsi="Century Gothic" w:cs="Arial"/>
          <w:b/>
          <w:color w:val="000000" w:themeColor="text1"/>
          <w:u w:color="000000"/>
          <w:bdr w:val="nil"/>
          <w:lang w:val="es-ES_tradnl" w:eastAsia="es-ES"/>
        </w:rPr>
        <w:t>DE LA MESA DIRECTIVA DE LA LXI LEGISLATURA</w:t>
      </w:r>
    </w:p>
    <w:p w14:paraId="432E22DC" w14:textId="77777777" w:rsidR="006871A8" w:rsidRPr="00C75799" w:rsidRDefault="006871A8" w:rsidP="006871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Century Gothic" w:eastAsia="Arial Unicode MS" w:hAnsi="Century Gothic" w:cs="Arial"/>
          <w:b/>
          <w:color w:val="000000" w:themeColor="text1"/>
          <w:u w:color="000000"/>
          <w:bdr w:val="nil"/>
          <w:lang w:val="es-ES_tradnl" w:eastAsia="es-ES"/>
        </w:rPr>
      </w:pPr>
      <w:r w:rsidRPr="00C75799">
        <w:rPr>
          <w:rFonts w:ascii="Century Gothic" w:eastAsia="Arial Unicode MS" w:hAnsi="Century Gothic" w:cs="Arial"/>
          <w:b/>
          <w:color w:val="000000" w:themeColor="text1"/>
          <w:u w:color="000000"/>
          <w:bdr w:val="nil"/>
          <w:lang w:val="es-ES_tradnl" w:eastAsia="es-ES"/>
        </w:rPr>
        <w:t>DEL HONORABLE CONGRESO DEL ESTADO</w:t>
      </w:r>
    </w:p>
    <w:p w14:paraId="5BFC3653" w14:textId="77777777" w:rsidR="006871A8" w:rsidRPr="00C75799" w:rsidRDefault="006871A8" w:rsidP="006871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Century Gothic" w:eastAsia="Arial Unicode MS" w:hAnsi="Century Gothic" w:cs="Arial"/>
          <w:b/>
          <w:color w:val="000000" w:themeColor="text1"/>
          <w:u w:color="000000"/>
          <w:bdr w:val="nil"/>
          <w:lang w:val="es-ES_tradnl" w:eastAsia="es-ES"/>
        </w:rPr>
      </w:pPr>
      <w:r w:rsidRPr="00C75799">
        <w:rPr>
          <w:rFonts w:ascii="Century Gothic" w:eastAsia="Arial Unicode MS" w:hAnsi="Century Gothic" w:cs="Arial"/>
          <w:b/>
          <w:color w:val="000000" w:themeColor="text1"/>
          <w:u w:color="000000"/>
          <w:bdr w:val="nil"/>
          <w:lang w:val="es-ES_tradnl" w:eastAsia="es-ES"/>
        </w:rPr>
        <w:t>LIBRE Y SOBERANO DE PUEBLA</w:t>
      </w:r>
    </w:p>
    <w:p w14:paraId="75BCF746" w14:textId="77777777" w:rsidR="006871A8" w:rsidRPr="00C75799" w:rsidRDefault="006871A8" w:rsidP="006871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Century Gothic" w:eastAsia="Arial Unicode MS" w:hAnsi="Century Gothic" w:cs="Arial"/>
          <w:b/>
          <w:color w:val="000000" w:themeColor="text1"/>
          <w:u w:color="000000"/>
          <w:bdr w:val="nil"/>
          <w:lang w:val="es-ES_tradnl" w:eastAsia="es-ES"/>
        </w:rPr>
      </w:pPr>
      <w:r w:rsidRPr="00C75799">
        <w:rPr>
          <w:rFonts w:ascii="Century Gothic" w:eastAsia="Arial Unicode MS" w:hAnsi="Century Gothic" w:cs="Arial"/>
          <w:b/>
          <w:color w:val="000000" w:themeColor="text1"/>
          <w:u w:color="000000"/>
          <w:bdr w:val="nil"/>
          <w:lang w:val="es-ES_tradnl" w:eastAsia="es-ES"/>
        </w:rPr>
        <w:t>P R E S E N T E</w:t>
      </w:r>
    </w:p>
    <w:p w14:paraId="2B0B9B26" w14:textId="77777777" w:rsidR="006871A8" w:rsidRPr="00C75799" w:rsidRDefault="006871A8" w:rsidP="006871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jc w:val="both"/>
        <w:rPr>
          <w:rFonts w:ascii="Century Gothic" w:eastAsia="Arial Unicode MS" w:hAnsi="Century Gothic" w:cs="Arial"/>
          <w:b/>
          <w:color w:val="000000" w:themeColor="text1"/>
          <w:u w:color="000000"/>
          <w:bdr w:val="nil"/>
          <w:lang w:val="es-ES_tradnl" w:eastAsia="es-ES"/>
        </w:rPr>
      </w:pPr>
    </w:p>
    <w:p w14:paraId="774BDCBD" w14:textId="5201E60E" w:rsidR="006871A8" w:rsidRPr="00C75799" w:rsidRDefault="006871A8" w:rsidP="006871A8">
      <w:pPr>
        <w:spacing w:after="0" w:line="264" w:lineRule="auto"/>
        <w:jc w:val="both"/>
        <w:rPr>
          <w:rFonts w:ascii="Century Gothic" w:eastAsia="Calibri" w:hAnsi="Century Gothic" w:cs="Arial"/>
          <w:color w:val="000000" w:themeColor="text1"/>
          <w:lang w:eastAsia="en-US"/>
        </w:rPr>
      </w:pPr>
      <w:r w:rsidRPr="00C75799">
        <w:rPr>
          <w:rFonts w:ascii="Century Gothic" w:eastAsia="Calibri" w:hAnsi="Century Gothic" w:cs="Arial"/>
          <w:color w:val="000000" w:themeColor="text1"/>
          <w:lang w:eastAsia="en-US"/>
        </w:rPr>
        <w:tab/>
      </w:r>
      <w:r w:rsidR="002917B0">
        <w:rPr>
          <w:rFonts w:ascii="Century Gothic" w:eastAsia="Calibri" w:hAnsi="Century Gothic" w:cs="Arial"/>
          <w:color w:val="000000" w:themeColor="text1"/>
          <w:lang w:eastAsia="en-US"/>
        </w:rPr>
        <w:t>La</w:t>
      </w:r>
      <w:r w:rsidRPr="00C75799">
        <w:rPr>
          <w:rFonts w:ascii="Century Gothic" w:eastAsia="Calibri" w:hAnsi="Century Gothic" w:cs="Arial"/>
          <w:color w:val="000000" w:themeColor="text1"/>
          <w:lang w:eastAsia="en-US"/>
        </w:rPr>
        <w:t xml:space="preserve"> suscrit</w:t>
      </w:r>
      <w:r w:rsidR="002917B0">
        <w:rPr>
          <w:rFonts w:ascii="Century Gothic" w:eastAsia="Calibri" w:hAnsi="Century Gothic" w:cs="Arial"/>
          <w:color w:val="000000" w:themeColor="text1"/>
          <w:lang w:eastAsia="en-US"/>
        </w:rPr>
        <w:t>a</w:t>
      </w:r>
      <w:r w:rsidRPr="00C75799">
        <w:rPr>
          <w:rFonts w:ascii="Century Gothic" w:eastAsia="Calibri" w:hAnsi="Century Gothic" w:cs="Arial"/>
          <w:color w:val="000000" w:themeColor="text1"/>
          <w:lang w:eastAsia="en-US"/>
        </w:rPr>
        <w:t xml:space="preserve"> </w:t>
      </w:r>
      <w:r w:rsidRPr="00C75799">
        <w:rPr>
          <w:rFonts w:ascii="Century Gothic" w:hAnsi="Century Gothic" w:cs="Arial"/>
          <w:color w:val="000000" w:themeColor="text1"/>
        </w:rPr>
        <w:t>Diputad</w:t>
      </w:r>
      <w:r w:rsidR="002917B0">
        <w:rPr>
          <w:rFonts w:ascii="Century Gothic" w:hAnsi="Century Gothic" w:cs="Arial"/>
          <w:color w:val="000000" w:themeColor="text1"/>
        </w:rPr>
        <w:t xml:space="preserve">a </w:t>
      </w:r>
      <w:hyperlink r:id="rId8" w:tgtFrame="_blank" w:history="1">
        <w:r w:rsidR="002917B0" w:rsidRPr="002917B0">
          <w:rPr>
            <w:rStyle w:val="Hipervnculo"/>
            <w:rFonts w:ascii="Century Gothic" w:hAnsi="Century Gothic" w:cs="Arial"/>
            <w:color w:val="auto"/>
            <w:u w:val="none"/>
          </w:rPr>
          <w:t>María Ruth Zárate Domínguez</w:t>
        </w:r>
      </w:hyperlink>
      <w:r w:rsidRPr="002917B0">
        <w:rPr>
          <w:rFonts w:ascii="Century Gothic" w:eastAsia="Calibri" w:hAnsi="Century Gothic" w:cs="Arial"/>
          <w:lang w:eastAsia="en-US"/>
        </w:rPr>
        <w:t>,</w:t>
      </w:r>
      <w:r w:rsidRPr="00C75799">
        <w:rPr>
          <w:rFonts w:ascii="Century Gothic" w:eastAsia="Calibri" w:hAnsi="Century Gothic" w:cs="Arial"/>
          <w:color w:val="000000" w:themeColor="text1"/>
          <w:lang w:eastAsia="en-US"/>
        </w:rPr>
        <w:t xml:space="preserve"> integrante del Grupo Legislativo </w:t>
      </w:r>
      <w:r w:rsidR="00604290" w:rsidRPr="00C75799">
        <w:rPr>
          <w:rFonts w:ascii="Century Gothic" w:eastAsia="Calibri" w:hAnsi="Century Gothic" w:cs="Arial"/>
          <w:color w:val="000000" w:themeColor="text1"/>
          <w:lang w:eastAsia="en-US"/>
        </w:rPr>
        <w:t xml:space="preserve">de </w:t>
      </w:r>
      <w:r w:rsidR="002917B0" w:rsidRPr="00C75799">
        <w:rPr>
          <w:rFonts w:ascii="Century Gothic" w:eastAsia="Calibri" w:hAnsi="Century Gothic" w:cs="Arial"/>
          <w:b/>
          <w:bCs/>
          <w:color w:val="000000" w:themeColor="text1"/>
          <w:lang w:eastAsia="en-US"/>
        </w:rPr>
        <w:t>MORENA</w:t>
      </w:r>
      <w:r w:rsidR="005B5DEC" w:rsidRPr="00C75799">
        <w:rPr>
          <w:rFonts w:ascii="Century Gothic" w:eastAsia="Calibri" w:hAnsi="Century Gothic" w:cs="Arial"/>
          <w:color w:val="000000" w:themeColor="text1"/>
          <w:lang w:eastAsia="en-US"/>
        </w:rPr>
        <w:t xml:space="preserve"> </w:t>
      </w:r>
      <w:r w:rsidRPr="00C75799">
        <w:rPr>
          <w:rFonts w:ascii="Century Gothic" w:eastAsia="Calibri" w:hAnsi="Century Gothic" w:cs="Arial"/>
          <w:color w:val="000000" w:themeColor="text1"/>
          <w:lang w:eastAsia="en-US"/>
        </w:rPr>
        <w:t xml:space="preserve">de la LXI Legislatura del Honorable Congreso del Estado, con fundamento en lo dispuesto por los artículos </w:t>
      </w:r>
      <w:r w:rsidRPr="00C75799">
        <w:rPr>
          <w:rFonts w:ascii="Century Gothic" w:eastAsia="Times New Roman" w:hAnsi="Century Gothic" w:cs="Arial"/>
          <w:color w:val="000000" w:themeColor="text1"/>
          <w:lang w:val="es-ES" w:eastAsia="es-ES"/>
        </w:rPr>
        <w:t>2 fracción XIX, 44 fracción II, 84, 134 y 135 de la Ley Orgánica del Poder Legislativo del Estado Libre y Soberano de Puebla; 120 fracción VI y 146 del Reglamento Interior del Honorable Congreso del Estado Libre y Soberano de Puebla</w:t>
      </w:r>
      <w:r w:rsidRPr="00C75799">
        <w:rPr>
          <w:rFonts w:ascii="Century Gothic" w:hAnsi="Century Gothic" w:cs="Arial"/>
          <w:color w:val="000000" w:themeColor="text1"/>
        </w:rPr>
        <w:t>,</w:t>
      </w:r>
      <w:r w:rsidRPr="00C75799">
        <w:rPr>
          <w:rFonts w:ascii="Century Gothic" w:eastAsia="Calibri" w:hAnsi="Century Gothic" w:cs="Arial"/>
          <w:color w:val="000000" w:themeColor="text1"/>
          <w:lang w:eastAsia="en-US"/>
        </w:rPr>
        <w:t xml:space="preserve"> someto a consideración de este Honorable Cuerpo Colegiado el presente Punto de Acuerdo, conforme a los siguientes:</w:t>
      </w:r>
    </w:p>
    <w:p w14:paraId="1F5F3127" w14:textId="77777777" w:rsidR="003A0D48" w:rsidRPr="00C75799" w:rsidRDefault="003A0D48" w:rsidP="003A0D48">
      <w:pPr>
        <w:spacing w:after="0" w:line="264" w:lineRule="auto"/>
        <w:rPr>
          <w:rFonts w:ascii="Century Gothic" w:eastAsia="Calibri" w:hAnsi="Century Gothic" w:cs="Arial"/>
          <w:color w:val="000000" w:themeColor="text1"/>
          <w:lang w:eastAsia="en-US"/>
        </w:rPr>
      </w:pPr>
    </w:p>
    <w:p w14:paraId="422A116E" w14:textId="77777777" w:rsidR="003A0D48" w:rsidRPr="00C75799" w:rsidRDefault="006871A8" w:rsidP="003A0D48">
      <w:pPr>
        <w:spacing w:after="0" w:line="264" w:lineRule="auto"/>
        <w:jc w:val="center"/>
        <w:rPr>
          <w:rFonts w:ascii="Century Gothic" w:eastAsia="Calibri" w:hAnsi="Century Gothic" w:cs="Arial"/>
          <w:b/>
          <w:color w:val="000000" w:themeColor="text1"/>
          <w:lang w:eastAsia="en-US"/>
        </w:rPr>
      </w:pPr>
      <w:r w:rsidRPr="00C75799">
        <w:rPr>
          <w:rFonts w:ascii="Century Gothic" w:eastAsia="Calibri" w:hAnsi="Century Gothic" w:cs="Arial"/>
          <w:b/>
          <w:color w:val="000000" w:themeColor="text1"/>
          <w:lang w:eastAsia="en-US"/>
        </w:rPr>
        <w:t>C O N S I D E R A N D O S</w:t>
      </w:r>
    </w:p>
    <w:p w14:paraId="010598A3" w14:textId="77777777" w:rsidR="003A0D48" w:rsidRPr="00C75799" w:rsidRDefault="003A0D48" w:rsidP="003A0D48">
      <w:pPr>
        <w:spacing w:after="0" w:line="264" w:lineRule="auto"/>
        <w:rPr>
          <w:rFonts w:ascii="Century Gothic" w:eastAsia="Calibri" w:hAnsi="Century Gothic" w:cs="Arial"/>
          <w:b/>
          <w:color w:val="000000" w:themeColor="text1"/>
          <w:lang w:eastAsia="en-US"/>
        </w:rPr>
      </w:pPr>
    </w:p>
    <w:p w14:paraId="31E67549" w14:textId="77777777" w:rsidR="003A0D48" w:rsidRPr="00C75799" w:rsidRDefault="007A587D" w:rsidP="003A0D48">
      <w:pPr>
        <w:spacing w:after="0" w:line="264" w:lineRule="auto"/>
        <w:ind w:firstLine="708"/>
        <w:jc w:val="both"/>
        <w:rPr>
          <w:rFonts w:ascii="Century Gothic" w:eastAsia="Calibri" w:hAnsi="Century Gothic" w:cs="Arial"/>
          <w:b/>
          <w:color w:val="000000" w:themeColor="text1"/>
          <w:lang w:eastAsia="en-US"/>
        </w:rPr>
      </w:pPr>
      <w:r w:rsidRPr="00C75799">
        <w:rPr>
          <w:rFonts w:ascii="Century Gothic" w:eastAsia="Calibri" w:hAnsi="Century Gothic" w:cs="Arial"/>
          <w:lang w:eastAsia="en-US"/>
        </w:rPr>
        <w:t xml:space="preserve">Que la Ley para la Regularización de Predios Rústicos, Urbanos y Suburbanos en el Régimen de Propiedad Privada del Estado de Puebla, </w:t>
      </w:r>
      <w:r w:rsidR="009A4D98" w:rsidRPr="00C75799">
        <w:rPr>
          <w:rFonts w:ascii="Century Gothic" w:eastAsia="Calibri" w:hAnsi="Century Gothic" w:cs="Arial"/>
          <w:lang w:eastAsia="en-US"/>
        </w:rPr>
        <w:t>tiene por objeto</w:t>
      </w:r>
      <w:r w:rsidRPr="00C75799">
        <w:rPr>
          <w:rFonts w:ascii="Century Gothic" w:eastAsia="Calibri" w:hAnsi="Century Gothic" w:cs="Arial"/>
          <w:lang w:eastAsia="en-US"/>
        </w:rPr>
        <w:t xml:space="preserve">, </w:t>
      </w:r>
      <w:r w:rsidRPr="00C75799">
        <w:rPr>
          <w:rFonts w:ascii="Century Gothic" w:eastAsia="Calibri" w:hAnsi="Century Gothic" w:cs="Arial"/>
          <w:b/>
          <w:bCs/>
          <w:i/>
          <w:iCs/>
          <w:lang w:eastAsia="en-US"/>
        </w:rPr>
        <w:t xml:space="preserve">el otorgar </w:t>
      </w:r>
      <w:bookmarkStart w:id="0" w:name="_Hlk101978522"/>
      <w:r w:rsidRPr="00C75799">
        <w:rPr>
          <w:rFonts w:ascii="Century Gothic" w:eastAsia="Calibri" w:hAnsi="Century Gothic" w:cs="Arial"/>
          <w:b/>
          <w:bCs/>
          <w:i/>
          <w:iCs/>
          <w:lang w:eastAsia="en-US"/>
        </w:rPr>
        <w:t xml:space="preserve">certeza jurídica </w:t>
      </w:r>
      <w:bookmarkEnd w:id="0"/>
      <w:r w:rsidRPr="00C75799">
        <w:rPr>
          <w:rFonts w:ascii="Century Gothic" w:eastAsia="Calibri" w:hAnsi="Century Gothic" w:cs="Arial"/>
          <w:b/>
          <w:bCs/>
          <w:i/>
          <w:iCs/>
          <w:lang w:eastAsia="en-US"/>
        </w:rPr>
        <w:t>a los predios destinados al servicio público en la entidad, como es el caso de las Instituciones Educativas Publicas</w:t>
      </w:r>
      <w:r w:rsidR="009A4D98" w:rsidRPr="00C75799">
        <w:rPr>
          <w:rFonts w:ascii="Century Gothic" w:eastAsia="Calibri" w:hAnsi="Century Gothic" w:cs="Arial"/>
          <w:b/>
          <w:bCs/>
          <w:i/>
          <w:iCs/>
          <w:lang w:eastAsia="en-US"/>
        </w:rPr>
        <w:t>,</w:t>
      </w:r>
      <w:r w:rsidRPr="00C75799">
        <w:rPr>
          <w:rFonts w:ascii="Century Gothic" w:eastAsia="Calibri" w:hAnsi="Century Gothic" w:cs="Arial"/>
          <w:b/>
          <w:bCs/>
          <w:i/>
          <w:iCs/>
          <w:lang w:eastAsia="en-US"/>
        </w:rPr>
        <w:t xml:space="preserve"> </w:t>
      </w:r>
      <w:r w:rsidR="009A4D98" w:rsidRPr="00C75799">
        <w:rPr>
          <w:rFonts w:ascii="Century Gothic" w:eastAsia="Calibri" w:hAnsi="Century Gothic" w:cs="Arial"/>
          <w:lang w:eastAsia="en-US"/>
        </w:rPr>
        <w:t xml:space="preserve">artículo </w:t>
      </w:r>
      <w:r w:rsidRPr="00C75799">
        <w:rPr>
          <w:rFonts w:ascii="Century Gothic" w:eastAsia="Calibri" w:hAnsi="Century Gothic" w:cs="Arial"/>
          <w:lang w:eastAsia="en-US"/>
        </w:rPr>
        <w:t>1</w:t>
      </w:r>
      <w:r w:rsidR="009A4D98" w:rsidRPr="00C75799">
        <w:rPr>
          <w:rFonts w:ascii="Century Gothic" w:eastAsia="Calibri" w:hAnsi="Century Gothic" w:cs="Arial"/>
          <w:lang w:eastAsia="en-US"/>
        </w:rPr>
        <w:t>.</w:t>
      </w:r>
    </w:p>
    <w:p w14:paraId="15369AD1" w14:textId="77777777" w:rsidR="003A0D48" w:rsidRPr="00C75799" w:rsidRDefault="003A0D48" w:rsidP="003A0D48">
      <w:pPr>
        <w:spacing w:after="0" w:line="264" w:lineRule="auto"/>
        <w:ind w:firstLine="708"/>
        <w:rPr>
          <w:rFonts w:ascii="Century Gothic" w:eastAsia="Calibri" w:hAnsi="Century Gothic" w:cs="Arial"/>
          <w:b/>
          <w:color w:val="000000" w:themeColor="text1"/>
          <w:lang w:eastAsia="en-US"/>
        </w:rPr>
      </w:pPr>
    </w:p>
    <w:p w14:paraId="5DE4BEE3" w14:textId="6EFB76FB" w:rsidR="007A587D" w:rsidRPr="00C75799" w:rsidRDefault="007A587D" w:rsidP="003A0D48">
      <w:pPr>
        <w:spacing w:after="0" w:line="264" w:lineRule="auto"/>
        <w:ind w:firstLine="708"/>
        <w:jc w:val="both"/>
        <w:rPr>
          <w:rFonts w:ascii="Century Gothic" w:eastAsia="Calibri" w:hAnsi="Century Gothic" w:cs="Arial"/>
          <w:lang w:eastAsia="en-US"/>
        </w:rPr>
      </w:pPr>
      <w:r w:rsidRPr="00C75799">
        <w:rPr>
          <w:rFonts w:ascii="Century Gothic" w:eastAsia="Calibri" w:hAnsi="Century Gothic" w:cs="Arial"/>
          <w:lang w:eastAsia="en-US"/>
        </w:rPr>
        <w:t xml:space="preserve">Que más aún los predios destinados a </w:t>
      </w:r>
      <w:r w:rsidRPr="00C75799">
        <w:rPr>
          <w:rFonts w:ascii="Century Gothic" w:eastAsia="Calibri" w:hAnsi="Century Gothic" w:cs="Arial"/>
          <w:b/>
          <w:bCs/>
          <w:i/>
          <w:iCs/>
          <w:lang w:eastAsia="en-US"/>
        </w:rPr>
        <w:t>servicios públicos</w:t>
      </w:r>
      <w:r w:rsidRPr="00C75799">
        <w:rPr>
          <w:rFonts w:ascii="Century Gothic" w:eastAsia="Calibri" w:hAnsi="Century Gothic" w:cs="Arial"/>
          <w:lang w:eastAsia="en-US"/>
        </w:rPr>
        <w:t xml:space="preserve"> cuya posesión a título de dueño se encuentre en poder de un Ente Público Estatal o Municipal, que carezcan de documentos y que no se encuentren dentro de las restricciones, podrán ser regularizados, debiendo reunir los siguientes requisitos:</w:t>
      </w:r>
    </w:p>
    <w:p w14:paraId="40107970" w14:textId="77777777" w:rsidR="003A0D48" w:rsidRPr="00C75799" w:rsidRDefault="003A0D48" w:rsidP="003A0D48">
      <w:pPr>
        <w:spacing w:after="0" w:line="264" w:lineRule="auto"/>
        <w:ind w:firstLine="708"/>
        <w:jc w:val="both"/>
        <w:rPr>
          <w:rFonts w:ascii="Century Gothic" w:eastAsia="Calibri" w:hAnsi="Century Gothic" w:cs="Arial"/>
          <w:b/>
          <w:color w:val="000000" w:themeColor="text1"/>
          <w:lang w:eastAsia="en-US"/>
        </w:rPr>
      </w:pPr>
    </w:p>
    <w:p w14:paraId="2B7BEC8C" w14:textId="77777777" w:rsidR="007A587D" w:rsidRPr="00C75799" w:rsidRDefault="007A587D" w:rsidP="003A0D48">
      <w:pPr>
        <w:ind w:left="709" w:right="49"/>
        <w:jc w:val="both"/>
        <w:rPr>
          <w:rFonts w:ascii="Century Gothic" w:eastAsia="Calibri" w:hAnsi="Century Gothic" w:cs="Arial"/>
          <w:lang w:eastAsia="en-US"/>
        </w:rPr>
      </w:pPr>
      <w:r w:rsidRPr="00C75799">
        <w:rPr>
          <w:rFonts w:ascii="Century Gothic" w:eastAsia="Calibri" w:hAnsi="Century Gothic" w:cs="Arial"/>
          <w:b/>
          <w:bCs/>
          <w:lang w:eastAsia="en-US"/>
        </w:rPr>
        <w:t>I.</w:t>
      </w:r>
      <w:r w:rsidRPr="00C75799">
        <w:rPr>
          <w:rFonts w:ascii="Century Gothic" w:eastAsia="Calibri" w:hAnsi="Century Gothic" w:cs="Arial"/>
          <w:lang w:eastAsia="en-US"/>
        </w:rPr>
        <w:t xml:space="preserve"> Solicitud del Representante Legal, debiendo acreditar con el instrumento legal correspondiente dicha representación;</w:t>
      </w:r>
    </w:p>
    <w:p w14:paraId="4C2E87C8" w14:textId="77777777" w:rsidR="007A587D" w:rsidRPr="00C75799" w:rsidRDefault="007A587D" w:rsidP="003A0D48">
      <w:pPr>
        <w:ind w:left="709" w:right="49"/>
        <w:jc w:val="both"/>
        <w:rPr>
          <w:rFonts w:ascii="Century Gothic" w:eastAsia="Calibri" w:hAnsi="Century Gothic" w:cs="Arial"/>
          <w:lang w:eastAsia="en-US"/>
        </w:rPr>
      </w:pPr>
      <w:r w:rsidRPr="00C75799">
        <w:rPr>
          <w:rFonts w:ascii="Century Gothic" w:eastAsia="Calibri" w:hAnsi="Century Gothic" w:cs="Arial"/>
          <w:b/>
          <w:bCs/>
          <w:lang w:eastAsia="en-US"/>
        </w:rPr>
        <w:t>II.</w:t>
      </w:r>
      <w:r w:rsidRPr="00C75799">
        <w:rPr>
          <w:rFonts w:ascii="Century Gothic" w:eastAsia="Calibri" w:hAnsi="Century Gothic" w:cs="Arial"/>
          <w:lang w:eastAsia="en-US"/>
        </w:rPr>
        <w:t xml:space="preserve"> Declaración bajo protesta de decir verdad, que el bien inmueble no se encuentra en tierras de régimen de propiedad ejidal o comunal previstos en la Ley Agraria;</w:t>
      </w:r>
    </w:p>
    <w:p w14:paraId="301BE417" w14:textId="77777777" w:rsidR="007A587D" w:rsidRPr="00C75799" w:rsidRDefault="007A587D" w:rsidP="003A0D48">
      <w:pPr>
        <w:ind w:left="709" w:right="49"/>
        <w:jc w:val="both"/>
        <w:rPr>
          <w:rFonts w:ascii="Century Gothic" w:eastAsia="Calibri" w:hAnsi="Century Gothic" w:cs="Arial"/>
          <w:lang w:eastAsia="en-US"/>
        </w:rPr>
      </w:pPr>
      <w:r w:rsidRPr="00C75799">
        <w:rPr>
          <w:rFonts w:ascii="Century Gothic" w:eastAsia="Calibri" w:hAnsi="Century Gothic" w:cs="Arial"/>
          <w:b/>
          <w:bCs/>
          <w:lang w:eastAsia="en-US"/>
        </w:rPr>
        <w:t>III.</w:t>
      </w:r>
      <w:r w:rsidRPr="00C75799">
        <w:rPr>
          <w:rFonts w:ascii="Century Gothic" w:eastAsia="Calibri" w:hAnsi="Century Gothic" w:cs="Arial"/>
          <w:lang w:eastAsia="en-US"/>
        </w:rPr>
        <w:t xml:space="preserve"> Plano de localización con vialidades y espacios de utilización pública con medidas y colindancias, superficies de terreno y construcción;</w:t>
      </w:r>
    </w:p>
    <w:p w14:paraId="390A176E" w14:textId="77777777" w:rsidR="007A587D" w:rsidRPr="00C75799" w:rsidRDefault="007A587D" w:rsidP="003A0D48">
      <w:pPr>
        <w:ind w:left="709" w:right="49"/>
        <w:jc w:val="both"/>
        <w:rPr>
          <w:rFonts w:ascii="Century Gothic" w:eastAsia="Calibri" w:hAnsi="Century Gothic" w:cs="Arial"/>
          <w:lang w:eastAsia="en-US"/>
        </w:rPr>
      </w:pPr>
      <w:r w:rsidRPr="00C75799">
        <w:rPr>
          <w:rFonts w:ascii="Century Gothic" w:eastAsia="Calibri" w:hAnsi="Century Gothic" w:cs="Arial"/>
          <w:b/>
          <w:bCs/>
          <w:lang w:eastAsia="en-US"/>
        </w:rPr>
        <w:t>IV.</w:t>
      </w:r>
      <w:r w:rsidRPr="00C75799">
        <w:rPr>
          <w:rFonts w:ascii="Century Gothic" w:eastAsia="Calibri" w:hAnsi="Century Gothic" w:cs="Arial"/>
          <w:lang w:eastAsia="en-US"/>
        </w:rPr>
        <w:t xml:space="preserve"> Documentos para acreditar la posesión del inmueble, donde incluya la fecha, destino y causa generadora de la posesión, pudiendo ser: </w:t>
      </w:r>
    </w:p>
    <w:p w14:paraId="53319EF7" w14:textId="77777777" w:rsidR="007A587D" w:rsidRPr="00C75799" w:rsidRDefault="007A587D" w:rsidP="003A0D48">
      <w:pPr>
        <w:ind w:left="1134" w:right="49"/>
        <w:jc w:val="both"/>
        <w:rPr>
          <w:rFonts w:ascii="Century Gothic" w:eastAsia="Calibri" w:hAnsi="Century Gothic" w:cs="Arial"/>
          <w:lang w:eastAsia="en-US"/>
        </w:rPr>
      </w:pPr>
      <w:r w:rsidRPr="00C75799">
        <w:rPr>
          <w:rFonts w:ascii="Century Gothic" w:eastAsia="Calibri" w:hAnsi="Century Gothic" w:cs="Arial"/>
          <w:b/>
          <w:bCs/>
          <w:lang w:eastAsia="en-US"/>
        </w:rPr>
        <w:t>a.</w:t>
      </w:r>
      <w:r w:rsidRPr="00C75799">
        <w:rPr>
          <w:rFonts w:ascii="Century Gothic" w:eastAsia="Calibri" w:hAnsi="Century Gothic" w:cs="Arial"/>
          <w:lang w:eastAsia="en-US"/>
        </w:rPr>
        <w:t xml:space="preserve"> Contrato privado;</w:t>
      </w:r>
    </w:p>
    <w:p w14:paraId="31AC58ED" w14:textId="77777777" w:rsidR="007A587D" w:rsidRPr="00C75799" w:rsidRDefault="007A587D" w:rsidP="003A0D48">
      <w:pPr>
        <w:ind w:left="1134" w:right="49"/>
        <w:jc w:val="both"/>
        <w:rPr>
          <w:rFonts w:ascii="Century Gothic" w:eastAsia="Calibri" w:hAnsi="Century Gothic" w:cs="Arial"/>
          <w:lang w:eastAsia="en-US"/>
        </w:rPr>
      </w:pPr>
      <w:r w:rsidRPr="00C75799">
        <w:rPr>
          <w:rFonts w:ascii="Century Gothic" w:eastAsia="Calibri" w:hAnsi="Century Gothic" w:cs="Arial"/>
          <w:b/>
          <w:bCs/>
          <w:lang w:eastAsia="en-US"/>
        </w:rPr>
        <w:lastRenderedPageBreak/>
        <w:t>b</w:t>
      </w:r>
      <w:r w:rsidRPr="00C75799">
        <w:rPr>
          <w:rFonts w:ascii="Century Gothic" w:eastAsia="Calibri" w:hAnsi="Century Gothic" w:cs="Arial"/>
          <w:lang w:eastAsia="en-US"/>
        </w:rPr>
        <w:t xml:space="preserve">. Constancia que acredite la causa generadora de la Posesión emitida por el Juez Municipal, con una antigüedad no mayor a 90 días hábiles; </w:t>
      </w:r>
    </w:p>
    <w:p w14:paraId="3BDC44DB" w14:textId="0F66EB3C" w:rsidR="007A587D" w:rsidRPr="00C75799" w:rsidRDefault="007A587D" w:rsidP="003A0D48">
      <w:pPr>
        <w:ind w:left="1134" w:right="49"/>
        <w:jc w:val="both"/>
        <w:rPr>
          <w:rFonts w:ascii="Century Gothic" w:eastAsia="Calibri" w:hAnsi="Century Gothic" w:cs="Arial"/>
          <w:lang w:eastAsia="en-US"/>
        </w:rPr>
      </w:pPr>
      <w:r w:rsidRPr="00C75799">
        <w:rPr>
          <w:rFonts w:ascii="Century Gothic" w:eastAsia="Calibri" w:hAnsi="Century Gothic" w:cs="Arial"/>
          <w:b/>
          <w:bCs/>
          <w:lang w:eastAsia="en-US"/>
        </w:rPr>
        <w:t>c.</w:t>
      </w:r>
      <w:r w:rsidRPr="00C75799">
        <w:rPr>
          <w:rFonts w:ascii="Century Gothic" w:eastAsia="Calibri" w:hAnsi="Century Gothic" w:cs="Arial"/>
          <w:lang w:eastAsia="en-US"/>
        </w:rPr>
        <w:t xml:space="preserve"> Fe de hechos ante Notario Público</w:t>
      </w:r>
      <w:r w:rsidR="009A4D98" w:rsidRPr="00C75799">
        <w:rPr>
          <w:rFonts w:ascii="Century Gothic" w:eastAsia="Calibri" w:hAnsi="Century Gothic" w:cs="Arial"/>
          <w:lang w:eastAsia="en-US"/>
        </w:rPr>
        <w:t>;</w:t>
      </w:r>
      <w:r w:rsidRPr="00C75799">
        <w:rPr>
          <w:rFonts w:ascii="Century Gothic" w:eastAsia="Calibri" w:hAnsi="Century Gothic" w:cs="Arial"/>
          <w:lang w:eastAsia="en-US"/>
        </w:rPr>
        <w:t xml:space="preserve"> o</w:t>
      </w:r>
    </w:p>
    <w:p w14:paraId="0C4A4759" w14:textId="77BDB268" w:rsidR="007A587D" w:rsidRPr="00C75799" w:rsidRDefault="007A587D" w:rsidP="003A0D48">
      <w:pPr>
        <w:ind w:left="1134" w:right="49"/>
        <w:jc w:val="both"/>
        <w:rPr>
          <w:rFonts w:ascii="Century Gothic" w:eastAsia="Calibri" w:hAnsi="Century Gothic" w:cs="Arial"/>
          <w:lang w:eastAsia="en-US"/>
        </w:rPr>
      </w:pPr>
      <w:r w:rsidRPr="00C75799">
        <w:rPr>
          <w:rFonts w:ascii="Century Gothic" w:eastAsia="Calibri" w:hAnsi="Century Gothic" w:cs="Arial"/>
          <w:b/>
          <w:bCs/>
          <w:lang w:eastAsia="en-US"/>
        </w:rPr>
        <w:t>d.</w:t>
      </w:r>
      <w:r w:rsidRPr="00C75799">
        <w:rPr>
          <w:rFonts w:ascii="Century Gothic" w:eastAsia="Calibri" w:hAnsi="Century Gothic" w:cs="Arial"/>
          <w:lang w:eastAsia="en-US"/>
        </w:rPr>
        <w:t xml:space="preserve"> Acta circunstanciada de verificación de hechos, expedida por el Secretario del Ayuntamiento</w:t>
      </w:r>
      <w:r w:rsidR="009A4D98" w:rsidRPr="00C75799">
        <w:rPr>
          <w:rFonts w:ascii="Century Gothic" w:eastAsia="Calibri" w:hAnsi="Century Gothic" w:cs="Arial"/>
          <w:lang w:eastAsia="en-US"/>
        </w:rPr>
        <w:t>.</w:t>
      </w:r>
    </w:p>
    <w:p w14:paraId="189FE73E" w14:textId="77777777" w:rsidR="007A587D" w:rsidRPr="00C75799" w:rsidRDefault="007A587D" w:rsidP="003A0D48">
      <w:pPr>
        <w:ind w:left="709" w:right="49"/>
        <w:jc w:val="both"/>
        <w:rPr>
          <w:rFonts w:ascii="Century Gothic" w:eastAsia="Calibri" w:hAnsi="Century Gothic" w:cs="Arial"/>
          <w:lang w:eastAsia="en-US"/>
        </w:rPr>
      </w:pPr>
      <w:r w:rsidRPr="00C75799">
        <w:rPr>
          <w:rFonts w:ascii="Century Gothic" w:eastAsia="Calibri" w:hAnsi="Century Gothic" w:cs="Arial"/>
          <w:b/>
          <w:bCs/>
          <w:lang w:eastAsia="en-US"/>
        </w:rPr>
        <w:t>V.</w:t>
      </w:r>
      <w:r w:rsidRPr="00C75799">
        <w:rPr>
          <w:rFonts w:ascii="Century Gothic" w:eastAsia="Calibri" w:hAnsi="Century Gothic" w:cs="Arial"/>
          <w:lang w:eastAsia="en-US"/>
        </w:rPr>
        <w:t xml:space="preserve"> Acuerdo de Cabildo o documento oficial mediante el cual se acredite y especifique la ocupación actual del inmueble, el periodo de tiempo utilizado y los servicios públicos que se encuentran prestando en el mismo.</w:t>
      </w:r>
    </w:p>
    <w:p w14:paraId="4976FB0F" w14:textId="77777777" w:rsidR="007A587D" w:rsidRPr="00C75799" w:rsidRDefault="007A587D" w:rsidP="003A0D48">
      <w:pPr>
        <w:ind w:right="49" w:firstLine="567"/>
        <w:jc w:val="both"/>
        <w:rPr>
          <w:rFonts w:ascii="Century Gothic" w:eastAsia="Calibri" w:hAnsi="Century Gothic" w:cs="Arial"/>
          <w:lang w:eastAsia="en-US"/>
        </w:rPr>
      </w:pPr>
      <w:r w:rsidRPr="00C75799">
        <w:rPr>
          <w:rFonts w:ascii="Century Gothic" w:eastAsia="Calibri" w:hAnsi="Century Gothic" w:cs="Arial"/>
          <w:lang w:eastAsia="en-US"/>
        </w:rPr>
        <w:t>Que en ese sentido, con fecha dos de febrero de dos mil veintiuno, se publicó en el Periódico Oficial del Estado, el Programa de Regularización de Predios Rústicos, Urbanos y Suburbanos en el Régimen de Propiedad Privada del Estado de Puebla “Programa Estatal”, que tiene entre otros, los siguientes objetivos:</w:t>
      </w:r>
    </w:p>
    <w:p w14:paraId="748A3780" w14:textId="743B7EC4" w:rsidR="007A587D" w:rsidRPr="00C75799" w:rsidRDefault="007A587D" w:rsidP="003A0D48">
      <w:pPr>
        <w:ind w:left="567" w:right="49"/>
        <w:jc w:val="both"/>
        <w:rPr>
          <w:rFonts w:ascii="Century Gothic" w:eastAsia="Calibri" w:hAnsi="Century Gothic" w:cs="Arial"/>
          <w:lang w:eastAsia="en-US"/>
        </w:rPr>
      </w:pPr>
      <w:r w:rsidRPr="00C75799">
        <w:rPr>
          <w:rFonts w:ascii="Century Gothic" w:eastAsia="Calibri" w:hAnsi="Century Gothic" w:cs="Arial"/>
          <w:lang w:eastAsia="en-US"/>
        </w:rPr>
        <w:t xml:space="preserve">• Establecer los procedimientos administrativos y trámites simplificados que otorguen las facilidades necesarias para acceder al </w:t>
      </w:r>
      <w:r w:rsidR="009A4D98" w:rsidRPr="00C75799">
        <w:rPr>
          <w:rFonts w:ascii="Century Gothic" w:eastAsia="Calibri" w:hAnsi="Century Gothic" w:cs="Arial"/>
          <w:lang w:eastAsia="en-US"/>
        </w:rPr>
        <w:t>“</w:t>
      </w:r>
      <w:r w:rsidRPr="00C75799">
        <w:rPr>
          <w:rFonts w:ascii="Century Gothic" w:eastAsia="Calibri" w:hAnsi="Century Gothic" w:cs="Arial"/>
          <w:lang w:eastAsia="en-US"/>
        </w:rPr>
        <w:t>Programa Estatal</w:t>
      </w:r>
      <w:r w:rsidR="009A4D98" w:rsidRPr="00C75799">
        <w:rPr>
          <w:rFonts w:ascii="Century Gothic" w:eastAsia="Calibri" w:hAnsi="Century Gothic" w:cs="Arial"/>
          <w:lang w:eastAsia="en-US"/>
        </w:rPr>
        <w:t>”</w:t>
      </w:r>
      <w:r w:rsidR="00A82513">
        <w:rPr>
          <w:rFonts w:ascii="Century Gothic" w:eastAsia="Calibri" w:hAnsi="Century Gothic" w:cs="Arial"/>
          <w:lang w:eastAsia="en-US"/>
        </w:rPr>
        <w:t>;</w:t>
      </w:r>
    </w:p>
    <w:p w14:paraId="75802D85" w14:textId="77777777" w:rsidR="007A587D" w:rsidRPr="00C75799" w:rsidRDefault="007A587D" w:rsidP="003A0D48">
      <w:pPr>
        <w:ind w:left="567" w:right="49"/>
        <w:jc w:val="both"/>
        <w:rPr>
          <w:rFonts w:ascii="Century Gothic" w:eastAsia="Calibri" w:hAnsi="Century Gothic" w:cs="Arial"/>
          <w:lang w:eastAsia="en-US"/>
        </w:rPr>
      </w:pPr>
      <w:r w:rsidRPr="00C75799">
        <w:rPr>
          <w:rFonts w:ascii="Century Gothic" w:eastAsia="Calibri" w:hAnsi="Century Gothic" w:cs="Arial"/>
          <w:lang w:eastAsia="en-US"/>
        </w:rPr>
        <w:t xml:space="preserve">• Impulsar la participación de los Municipios y fomentar la intervención ciudadana para la seguridad jurídica y documental de la tenencia de la tierra; </w:t>
      </w:r>
    </w:p>
    <w:p w14:paraId="4F980771" w14:textId="77777777" w:rsidR="007A587D" w:rsidRPr="00C75799" w:rsidRDefault="007A587D" w:rsidP="003A0D48">
      <w:pPr>
        <w:ind w:left="567" w:right="49"/>
        <w:jc w:val="both"/>
        <w:rPr>
          <w:rFonts w:ascii="Century Gothic" w:eastAsia="Calibri" w:hAnsi="Century Gothic" w:cs="Arial"/>
          <w:lang w:eastAsia="en-US"/>
        </w:rPr>
      </w:pPr>
      <w:r w:rsidRPr="00C75799">
        <w:rPr>
          <w:rFonts w:ascii="Century Gothic" w:eastAsia="Calibri" w:hAnsi="Century Gothic" w:cs="Arial"/>
          <w:lang w:eastAsia="en-US"/>
        </w:rPr>
        <w:t>• Transformar las condiciones de desventaja en que viven los poblanos y las poblanas, que no cuentan con certeza jurídica en la tenencia de la tierra de predios rústicos, urbanos y suburbanos;</w:t>
      </w:r>
    </w:p>
    <w:p w14:paraId="16625A1D" w14:textId="61461461" w:rsidR="007A587D" w:rsidRPr="00C75799" w:rsidRDefault="007A587D" w:rsidP="003A0D48">
      <w:pPr>
        <w:ind w:left="567" w:right="49"/>
        <w:jc w:val="both"/>
        <w:rPr>
          <w:rFonts w:ascii="Century Gothic" w:eastAsia="Calibri" w:hAnsi="Century Gothic" w:cs="Arial"/>
          <w:b/>
          <w:bCs/>
          <w:i/>
          <w:iCs/>
          <w:lang w:eastAsia="en-US"/>
        </w:rPr>
      </w:pPr>
      <w:r w:rsidRPr="00C75799">
        <w:rPr>
          <w:rFonts w:ascii="Century Gothic" w:eastAsia="Calibri" w:hAnsi="Century Gothic" w:cs="Arial"/>
          <w:b/>
          <w:bCs/>
          <w:i/>
          <w:iCs/>
          <w:lang w:eastAsia="en-US"/>
        </w:rPr>
        <w:t xml:space="preserve">• </w:t>
      </w:r>
      <w:r w:rsidR="009E55A1" w:rsidRPr="00C75799">
        <w:rPr>
          <w:rFonts w:ascii="Century Gothic" w:eastAsia="Calibri" w:hAnsi="Century Gothic" w:cs="Arial"/>
          <w:b/>
          <w:bCs/>
          <w:i/>
          <w:iCs/>
          <w:lang w:eastAsia="en-US"/>
        </w:rPr>
        <w:t>Regularizar la tenencia de la tierra de predios rústicos, urbanos y suburbanos destinados a servicios públicos, cuya posesión a título de dueño se encuentre en poder de un ente público Estatal y Municipal</w:t>
      </w:r>
      <w:r w:rsidRPr="00C75799">
        <w:rPr>
          <w:rFonts w:ascii="Century Gothic" w:eastAsia="Calibri" w:hAnsi="Century Gothic" w:cs="Arial"/>
          <w:b/>
          <w:bCs/>
          <w:i/>
          <w:iCs/>
          <w:lang w:eastAsia="en-US"/>
        </w:rPr>
        <w:t>; y</w:t>
      </w:r>
    </w:p>
    <w:p w14:paraId="5627B8C4" w14:textId="77777777" w:rsidR="007A587D" w:rsidRPr="00C75799" w:rsidRDefault="007A587D" w:rsidP="003A0D48">
      <w:pPr>
        <w:ind w:left="567" w:right="49"/>
        <w:jc w:val="both"/>
        <w:rPr>
          <w:rFonts w:ascii="Century Gothic" w:eastAsia="Calibri" w:hAnsi="Century Gothic" w:cs="Arial"/>
          <w:lang w:eastAsia="en-US"/>
        </w:rPr>
      </w:pPr>
      <w:r w:rsidRPr="00C75799">
        <w:rPr>
          <w:rFonts w:ascii="Century Gothic" w:eastAsia="Calibri" w:hAnsi="Century Gothic" w:cs="Arial"/>
          <w:lang w:eastAsia="en-US"/>
        </w:rPr>
        <w:t>• Contribuir a la seguridad documental fortaleciendo la función registral y catastral.</w:t>
      </w:r>
    </w:p>
    <w:p w14:paraId="4CE813D0" w14:textId="66044127" w:rsidR="007A587D" w:rsidRPr="00C75799" w:rsidRDefault="007A587D" w:rsidP="003A0D48">
      <w:pPr>
        <w:ind w:right="49" w:firstLine="567"/>
        <w:jc w:val="both"/>
        <w:rPr>
          <w:rFonts w:ascii="Century Gothic" w:eastAsia="Calibri" w:hAnsi="Century Gothic" w:cs="Arial"/>
          <w:lang w:eastAsia="en-US"/>
        </w:rPr>
      </w:pPr>
      <w:r w:rsidRPr="00C75799">
        <w:rPr>
          <w:rFonts w:ascii="Century Gothic" w:eastAsia="Calibri" w:hAnsi="Century Gothic" w:cs="Arial"/>
          <w:lang w:eastAsia="en-US"/>
        </w:rPr>
        <w:t xml:space="preserve">Que es de señalar que la Dirección General de Tenencia de la Tierra y Población del Gobierno del Estado de Puebla, en coordinación con otras unidades administrativas, ha implementado acciones de coordinación y colaboración para la </w:t>
      </w:r>
      <w:r w:rsidRPr="00C75799">
        <w:rPr>
          <w:rFonts w:ascii="Century Gothic" w:eastAsia="Calibri" w:hAnsi="Century Gothic" w:cs="Arial"/>
          <w:b/>
          <w:lang w:eastAsia="en-US"/>
        </w:rPr>
        <w:t>regularización de los bienes inmuebles de las Instituciones Educativas con destino a la Secretaría de Educación del Estado de Puebla</w:t>
      </w:r>
      <w:r w:rsidRPr="00C75799">
        <w:rPr>
          <w:rFonts w:ascii="Century Gothic" w:eastAsia="Calibri" w:hAnsi="Century Gothic" w:cs="Arial"/>
          <w:lang w:eastAsia="en-US"/>
        </w:rPr>
        <w:t>, que a la fecha carecen de certeza y seguridad jurídica por la falta de Escritura Pública o de un Título de Propiedad, y con ello, mitigar estas carencias en todos los niveles educativos.</w:t>
      </w:r>
    </w:p>
    <w:p w14:paraId="4C445021" w14:textId="77777777" w:rsidR="003A0D48" w:rsidRPr="00C75799" w:rsidRDefault="003A0D48" w:rsidP="003A0D48">
      <w:pPr>
        <w:ind w:right="49" w:firstLine="567"/>
        <w:jc w:val="both"/>
        <w:rPr>
          <w:rFonts w:ascii="Century Gothic" w:eastAsia="Calibri" w:hAnsi="Century Gothic" w:cs="Arial"/>
          <w:color w:val="00B050"/>
          <w:lang w:eastAsia="en-US"/>
        </w:rPr>
      </w:pPr>
    </w:p>
    <w:p w14:paraId="7E4CFFE1" w14:textId="2F99FEF7" w:rsidR="007A587D" w:rsidRPr="00C75799" w:rsidRDefault="007A587D" w:rsidP="003A0D48">
      <w:pPr>
        <w:ind w:right="49" w:firstLine="708"/>
        <w:jc w:val="both"/>
        <w:rPr>
          <w:rFonts w:ascii="Century Gothic" w:eastAsia="Calibri" w:hAnsi="Century Gothic" w:cs="Arial"/>
          <w:lang w:eastAsia="en-US"/>
        </w:rPr>
      </w:pPr>
      <w:r w:rsidRPr="00C75799">
        <w:rPr>
          <w:rFonts w:ascii="Century Gothic" w:eastAsia="Calibri" w:hAnsi="Century Gothic" w:cs="Arial"/>
          <w:lang w:eastAsia="en-US"/>
        </w:rPr>
        <w:lastRenderedPageBreak/>
        <w:t xml:space="preserve">Que el resultado de estas </w:t>
      </w:r>
      <w:r w:rsidR="003A0D48" w:rsidRPr="00C75799">
        <w:rPr>
          <w:rFonts w:ascii="Century Gothic" w:eastAsia="Calibri" w:hAnsi="Century Gothic" w:cs="Arial"/>
          <w:lang w:eastAsia="en-US"/>
        </w:rPr>
        <w:t>acciones</w:t>
      </w:r>
      <w:r w:rsidRPr="00C75799">
        <w:rPr>
          <w:rFonts w:ascii="Century Gothic" w:eastAsia="Calibri" w:hAnsi="Century Gothic" w:cs="Arial"/>
          <w:lang w:eastAsia="en-US"/>
        </w:rPr>
        <w:t xml:space="preserve"> es </w:t>
      </w:r>
      <w:r w:rsidRPr="00C75799">
        <w:rPr>
          <w:rFonts w:ascii="Century Gothic" w:eastAsia="Calibri" w:hAnsi="Century Gothic" w:cs="Arial"/>
          <w:b/>
          <w:lang w:eastAsia="en-US"/>
        </w:rPr>
        <w:t>contar con un Título de Propiedad para garantizar el Desarrollo Educativo de las y los poblanos en la Infraestructura Escolar</w:t>
      </w:r>
      <w:r w:rsidRPr="00C75799">
        <w:rPr>
          <w:rFonts w:ascii="Century Gothic" w:eastAsia="Calibri" w:hAnsi="Century Gothic" w:cs="Arial"/>
          <w:lang w:eastAsia="en-US"/>
        </w:rPr>
        <w:t xml:space="preserve"> y de esa manera, </w:t>
      </w:r>
      <w:r w:rsidRPr="00C75799">
        <w:rPr>
          <w:rFonts w:ascii="Century Gothic" w:eastAsia="Calibri" w:hAnsi="Century Gothic" w:cs="Arial"/>
          <w:b/>
          <w:lang w:eastAsia="en-US"/>
        </w:rPr>
        <w:t>tener acceso a la creación de espacios dignos para la mejora de las actividades educativas</w:t>
      </w:r>
      <w:r w:rsidRPr="00C75799">
        <w:rPr>
          <w:rFonts w:ascii="Century Gothic" w:eastAsia="Calibri" w:hAnsi="Century Gothic" w:cs="Arial"/>
          <w:lang w:eastAsia="en-US"/>
        </w:rPr>
        <w:t xml:space="preserve"> y para la </w:t>
      </w:r>
      <w:r w:rsidRPr="00C75799">
        <w:rPr>
          <w:rFonts w:ascii="Century Gothic" w:eastAsia="Calibri" w:hAnsi="Century Gothic" w:cs="Arial"/>
          <w:b/>
          <w:lang w:eastAsia="en-US"/>
        </w:rPr>
        <w:t>regularización de los bienes inmuebles de las Instituciones Educativas con destino a la Secretaría de Educación del Estado de Puebla.</w:t>
      </w:r>
    </w:p>
    <w:p w14:paraId="53602F3B" w14:textId="20DB01FF" w:rsidR="00C11771" w:rsidRPr="00C75799" w:rsidRDefault="00C11771" w:rsidP="00C75799">
      <w:pPr>
        <w:ind w:right="49" w:firstLine="708"/>
        <w:jc w:val="both"/>
        <w:rPr>
          <w:rFonts w:ascii="Century Gothic" w:eastAsia="Calibri" w:hAnsi="Century Gothic" w:cs="Times New Roman"/>
          <w:lang w:eastAsia="en-US"/>
        </w:rPr>
      </w:pPr>
      <w:r w:rsidRPr="00C75799">
        <w:rPr>
          <w:rFonts w:ascii="Century Gothic" w:eastAsia="Calibri" w:hAnsi="Century Gothic" w:cs="Arial"/>
          <w:lang w:eastAsia="en-US"/>
        </w:rPr>
        <w:t>Que la Dirección General de Tenencia de la Tierra y Población, como Autoridad Competente del “Programa Estatal”, en coordinación con la Dirección de Bienes Muebles e Inmuebles de la Secretaría de Administración, informó que, realizaron el análisis y revisión de una serie de expedientes, relativos a la regularización de los bienes inmuebles donde se encuentran actualmente planteles educativos, en diversos Municipios del Estado de Puebla; del mismo se desprende un rezago históric</w:t>
      </w:r>
      <w:r w:rsidR="00292AA2">
        <w:rPr>
          <w:rFonts w:ascii="Century Gothic" w:eastAsia="Calibri" w:hAnsi="Century Gothic" w:cs="Arial"/>
          <w:lang w:eastAsia="en-US"/>
        </w:rPr>
        <w:t>o</w:t>
      </w:r>
      <w:r w:rsidRPr="00C75799">
        <w:rPr>
          <w:rFonts w:ascii="Century Gothic" w:eastAsia="Calibri" w:hAnsi="Century Gothic" w:cs="Arial"/>
          <w:lang w:eastAsia="en-US"/>
        </w:rPr>
        <w:t>, que por causas ajenas no fueron regularizadas con destino a la Secretaria de Educ</w:t>
      </w:r>
      <w:r w:rsidR="002C1BA9">
        <w:rPr>
          <w:rFonts w:ascii="Century Gothic" w:eastAsia="Calibri" w:hAnsi="Century Gothic" w:cs="Arial"/>
          <w:lang w:eastAsia="en-US"/>
        </w:rPr>
        <w:t>a</w:t>
      </w:r>
      <w:r w:rsidRPr="00C75799">
        <w:rPr>
          <w:rFonts w:ascii="Century Gothic" w:eastAsia="Calibri" w:hAnsi="Century Gothic" w:cs="Arial"/>
          <w:lang w:eastAsia="en-US"/>
        </w:rPr>
        <w:t>ción</w:t>
      </w:r>
      <w:r w:rsidRPr="00C75799">
        <w:rPr>
          <w:rFonts w:ascii="Century Gothic" w:eastAsia="Calibri" w:hAnsi="Century Gothic" w:cs="Arial"/>
          <w:b/>
          <w:lang w:eastAsia="en-US"/>
        </w:rPr>
        <w:t xml:space="preserve"> </w:t>
      </w:r>
      <w:r w:rsidRPr="00C75799">
        <w:rPr>
          <w:rFonts w:ascii="Century Gothic" w:eastAsia="Calibri" w:hAnsi="Century Gothic" w:cs="Arial"/>
          <w:bCs/>
          <w:lang w:eastAsia="en-US"/>
        </w:rPr>
        <w:t>del Estado de Puebla</w:t>
      </w:r>
      <w:r w:rsidRPr="00C75799">
        <w:rPr>
          <w:rFonts w:ascii="Century Gothic" w:eastAsia="Calibri" w:hAnsi="Century Gothic" w:cs="Arial"/>
          <w:lang w:eastAsia="en-US"/>
        </w:rPr>
        <w:t>, clasificándose de la siguiente manera:</w:t>
      </w:r>
      <w:r w:rsidRPr="00C75799">
        <w:rPr>
          <w:rFonts w:ascii="Century Gothic" w:eastAsia="Calibri" w:hAnsi="Century Gothic" w:cs="Times New Roman"/>
          <w:lang w:eastAsia="en-US"/>
        </w:rPr>
        <w:t xml:space="preserve"> </w:t>
      </w:r>
    </w:p>
    <w:p w14:paraId="6CCA8625" w14:textId="41D71868" w:rsidR="007A587D" w:rsidRPr="00C75799" w:rsidRDefault="00C75799" w:rsidP="003A0D48">
      <w:pPr>
        <w:ind w:right="49" w:firstLine="708"/>
        <w:jc w:val="both"/>
        <w:rPr>
          <w:rFonts w:ascii="Century Gothic" w:eastAsia="Calibri" w:hAnsi="Century Gothic" w:cs="Arial"/>
          <w:lang w:eastAsia="en-US"/>
        </w:rPr>
      </w:pPr>
      <w:r w:rsidRPr="00C75799">
        <w:rPr>
          <w:rFonts w:ascii="Century Gothic" w:eastAsia="Calibri" w:hAnsi="Century Gothic" w:cs="Arial"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55992BD3" wp14:editId="6C3C2B29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3260325" cy="3312544"/>
            <wp:effectExtent l="0" t="0" r="0" b="2540"/>
            <wp:wrapNone/>
            <wp:docPr id="2" name="Imagen 2" descr="Imagen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en blanco y negr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223" cy="33154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892F61" w14:textId="4901BBFC" w:rsidR="007A587D" w:rsidRPr="00C75799" w:rsidRDefault="007A587D" w:rsidP="003A0D48">
      <w:pPr>
        <w:ind w:right="49" w:firstLine="708"/>
        <w:jc w:val="both"/>
        <w:rPr>
          <w:rFonts w:ascii="Century Gothic" w:eastAsia="Calibri" w:hAnsi="Century Gothic" w:cs="Arial"/>
          <w:lang w:eastAsia="en-US"/>
        </w:rPr>
      </w:pPr>
    </w:p>
    <w:p w14:paraId="722178BE" w14:textId="427D3137" w:rsidR="00C75799" w:rsidRPr="00C75799" w:rsidRDefault="00C75799" w:rsidP="003A0D48">
      <w:pPr>
        <w:ind w:right="49" w:firstLine="708"/>
        <w:jc w:val="both"/>
        <w:rPr>
          <w:rFonts w:ascii="Century Gothic" w:eastAsia="Calibri" w:hAnsi="Century Gothic" w:cs="Arial"/>
          <w:lang w:val="es-ES" w:eastAsia="en-US"/>
        </w:rPr>
      </w:pPr>
    </w:p>
    <w:p w14:paraId="7AEA7097" w14:textId="77777777" w:rsidR="00C75799" w:rsidRPr="00C75799" w:rsidRDefault="00C75799" w:rsidP="003A0D48">
      <w:pPr>
        <w:ind w:right="49" w:firstLine="708"/>
        <w:jc w:val="both"/>
        <w:rPr>
          <w:rFonts w:ascii="Century Gothic" w:eastAsia="Calibri" w:hAnsi="Century Gothic" w:cs="Arial"/>
          <w:lang w:val="es-ES" w:eastAsia="en-US"/>
        </w:rPr>
      </w:pPr>
    </w:p>
    <w:p w14:paraId="66976A68" w14:textId="77777777" w:rsidR="00C75799" w:rsidRPr="00C75799" w:rsidRDefault="00C75799" w:rsidP="003A0D48">
      <w:pPr>
        <w:ind w:right="49" w:firstLine="708"/>
        <w:jc w:val="both"/>
        <w:rPr>
          <w:rFonts w:ascii="Century Gothic" w:eastAsia="Calibri" w:hAnsi="Century Gothic" w:cs="Arial"/>
          <w:lang w:val="es-ES" w:eastAsia="en-US"/>
        </w:rPr>
      </w:pPr>
    </w:p>
    <w:p w14:paraId="1A33C5A2" w14:textId="77777777" w:rsidR="00C75799" w:rsidRPr="00C75799" w:rsidRDefault="00C75799" w:rsidP="003A0D48">
      <w:pPr>
        <w:ind w:right="49" w:firstLine="708"/>
        <w:jc w:val="both"/>
        <w:rPr>
          <w:rFonts w:ascii="Century Gothic" w:eastAsia="Calibri" w:hAnsi="Century Gothic" w:cs="Arial"/>
          <w:lang w:val="es-ES" w:eastAsia="en-US"/>
        </w:rPr>
      </w:pPr>
    </w:p>
    <w:p w14:paraId="3CC32FC8" w14:textId="77777777" w:rsidR="00C75799" w:rsidRPr="00C75799" w:rsidRDefault="00C75799" w:rsidP="003A0D48">
      <w:pPr>
        <w:ind w:right="49" w:firstLine="708"/>
        <w:jc w:val="both"/>
        <w:rPr>
          <w:rFonts w:ascii="Century Gothic" w:eastAsia="Calibri" w:hAnsi="Century Gothic" w:cs="Arial"/>
          <w:lang w:val="es-ES" w:eastAsia="en-US"/>
        </w:rPr>
      </w:pPr>
    </w:p>
    <w:p w14:paraId="322F48F1" w14:textId="77777777" w:rsidR="00C75799" w:rsidRPr="00C75799" w:rsidRDefault="00C75799" w:rsidP="003A0D48">
      <w:pPr>
        <w:ind w:right="49" w:firstLine="708"/>
        <w:jc w:val="both"/>
        <w:rPr>
          <w:rFonts w:ascii="Century Gothic" w:eastAsia="Calibri" w:hAnsi="Century Gothic" w:cs="Arial"/>
          <w:lang w:val="es-ES" w:eastAsia="en-US"/>
        </w:rPr>
      </w:pPr>
    </w:p>
    <w:p w14:paraId="47F0EFD6" w14:textId="77777777" w:rsidR="00C75799" w:rsidRPr="00C75799" w:rsidRDefault="00C75799" w:rsidP="003A0D48">
      <w:pPr>
        <w:ind w:right="49" w:firstLine="708"/>
        <w:jc w:val="both"/>
        <w:rPr>
          <w:rFonts w:ascii="Century Gothic" w:eastAsia="Calibri" w:hAnsi="Century Gothic" w:cs="Arial"/>
          <w:lang w:val="es-ES" w:eastAsia="en-US"/>
        </w:rPr>
      </w:pPr>
    </w:p>
    <w:p w14:paraId="5314CA61" w14:textId="77777777" w:rsidR="00C75799" w:rsidRPr="00C75799" w:rsidRDefault="00C75799" w:rsidP="003A0D48">
      <w:pPr>
        <w:ind w:right="49" w:firstLine="708"/>
        <w:jc w:val="both"/>
        <w:rPr>
          <w:rFonts w:ascii="Century Gothic" w:eastAsia="Calibri" w:hAnsi="Century Gothic" w:cs="Arial"/>
          <w:lang w:val="es-ES" w:eastAsia="en-US"/>
        </w:rPr>
      </w:pPr>
    </w:p>
    <w:p w14:paraId="4E0CDA34" w14:textId="77777777" w:rsidR="00C75799" w:rsidRPr="00C75799" w:rsidRDefault="00C75799" w:rsidP="003A0D48">
      <w:pPr>
        <w:ind w:right="49" w:firstLine="708"/>
        <w:jc w:val="both"/>
        <w:rPr>
          <w:rFonts w:ascii="Century Gothic" w:eastAsia="Calibri" w:hAnsi="Century Gothic" w:cs="Arial"/>
          <w:lang w:val="es-ES" w:eastAsia="en-US"/>
        </w:rPr>
      </w:pPr>
    </w:p>
    <w:p w14:paraId="6F6AFA30" w14:textId="77777777" w:rsidR="00C75799" w:rsidRPr="00C75799" w:rsidRDefault="00C75799" w:rsidP="003A0D48">
      <w:pPr>
        <w:ind w:right="49" w:firstLine="708"/>
        <w:jc w:val="both"/>
        <w:rPr>
          <w:rFonts w:ascii="Century Gothic" w:eastAsia="Calibri" w:hAnsi="Century Gothic" w:cs="Arial"/>
          <w:lang w:val="es-ES" w:eastAsia="en-US"/>
        </w:rPr>
      </w:pPr>
    </w:p>
    <w:p w14:paraId="19EB727C" w14:textId="11F4A2CD" w:rsidR="007A587D" w:rsidRPr="00C75799" w:rsidRDefault="007A587D" w:rsidP="003A0D48">
      <w:pPr>
        <w:ind w:right="49" w:firstLine="708"/>
        <w:jc w:val="both"/>
        <w:rPr>
          <w:rFonts w:ascii="Century Gothic" w:eastAsia="Calibri" w:hAnsi="Century Gothic" w:cs="Arial"/>
          <w:lang w:val="es-ES" w:eastAsia="en-US"/>
        </w:rPr>
      </w:pPr>
      <w:r w:rsidRPr="00C75799">
        <w:rPr>
          <w:rFonts w:ascii="Century Gothic" w:eastAsia="Calibri" w:hAnsi="Century Gothic" w:cs="Arial"/>
          <w:lang w:val="es-ES" w:eastAsia="en-US"/>
        </w:rPr>
        <w:t xml:space="preserve">Que derivado de estas acciones implementadas, se requiere la colaboración de los Presidentes de los Ayuntamientos, para que en coordinación con la Dirección General de Tenencia de la Tierra y Población, busquen alternativas jurídicas, sociales y políticas que permitan brindar certeza jurídica de los predios donde se ubican las instituciones educativas, que se encuentran en los Municipios del Estado de Puebla, solicitándoles diversas documentales para </w:t>
      </w:r>
      <w:r w:rsidRPr="00C75799">
        <w:rPr>
          <w:rFonts w:ascii="Century Gothic" w:eastAsia="Calibri" w:hAnsi="Century Gothic" w:cs="Arial"/>
          <w:lang w:val="es-ES" w:eastAsia="en-US"/>
        </w:rPr>
        <w:lastRenderedPageBreak/>
        <w:t xml:space="preserve">conocer la situación jurídica de todos y cada uno de los planteles educativos que son susceptibles de regularización. </w:t>
      </w:r>
    </w:p>
    <w:p w14:paraId="7893B524" w14:textId="426F5516" w:rsidR="007A587D" w:rsidRDefault="007A587D" w:rsidP="003A0D48">
      <w:pPr>
        <w:ind w:right="49" w:firstLine="708"/>
        <w:jc w:val="both"/>
        <w:rPr>
          <w:rFonts w:ascii="Century Gothic" w:eastAsia="Calibri" w:hAnsi="Century Gothic" w:cs="Arial"/>
          <w:lang w:eastAsia="en-US"/>
        </w:rPr>
      </w:pPr>
      <w:r w:rsidRPr="00C75799">
        <w:rPr>
          <w:rFonts w:ascii="Century Gothic" w:eastAsia="Calibri" w:hAnsi="Century Gothic" w:cs="Arial"/>
          <w:lang w:val="es-ES" w:eastAsia="en-US"/>
        </w:rPr>
        <w:t xml:space="preserve">Por lo antes expuesto se exhorta a los Ayuntamientos de </w:t>
      </w:r>
      <w:r w:rsidRPr="00C75799">
        <w:rPr>
          <w:rFonts w:ascii="Century Gothic" w:eastAsia="Calibri" w:hAnsi="Century Gothic" w:cs="Arial"/>
          <w:b/>
          <w:bCs/>
          <w:i/>
          <w:iCs/>
          <w:lang w:val="es-ES" w:eastAsia="en-US"/>
        </w:rPr>
        <w:t xml:space="preserve">Acatlán de Osorio, Aquixtla, Atempan, Atlixco, Axutla, Chignahuapan, Coronango, Cuetzalan del Progreso, Cuyuaco, Chiautla, Huaquechula, </w:t>
      </w:r>
      <w:r w:rsidRPr="00C75799">
        <w:rPr>
          <w:rFonts w:ascii="Century Gothic" w:eastAsia="Calibri" w:hAnsi="Century Gothic" w:cs="Arial"/>
          <w:b/>
          <w:bCs/>
          <w:i/>
          <w:iCs/>
          <w:lang w:eastAsia="en-US"/>
        </w:rPr>
        <w:t>Huehuetlán El Chico</w:t>
      </w:r>
      <w:r w:rsidRPr="00C75799">
        <w:rPr>
          <w:rFonts w:ascii="Century Gothic" w:eastAsia="Calibri" w:hAnsi="Century Gothic" w:cs="Arial"/>
          <w:b/>
          <w:bCs/>
          <w:i/>
          <w:iCs/>
          <w:lang w:val="es-ES" w:eastAsia="en-US"/>
        </w:rPr>
        <w:t xml:space="preserve">, Hueyapan, </w:t>
      </w:r>
      <w:r w:rsidRPr="00C75799">
        <w:rPr>
          <w:rFonts w:ascii="Century Gothic" w:eastAsia="Calibri" w:hAnsi="Century Gothic" w:cs="Arial"/>
          <w:b/>
          <w:bCs/>
          <w:i/>
          <w:iCs/>
          <w:lang w:eastAsia="en-US"/>
        </w:rPr>
        <w:t>Hueytlalpan</w:t>
      </w:r>
      <w:r w:rsidRPr="00C75799">
        <w:rPr>
          <w:rFonts w:ascii="Century Gothic" w:eastAsia="Calibri" w:hAnsi="Century Gothic" w:cs="Arial"/>
          <w:b/>
          <w:bCs/>
          <w:i/>
          <w:iCs/>
          <w:lang w:val="es-ES" w:eastAsia="en-US"/>
        </w:rPr>
        <w:t xml:space="preserve">, Ixcaquixtla, Ixtacamaxtitlan, </w:t>
      </w:r>
      <w:r w:rsidRPr="00C75799">
        <w:rPr>
          <w:rFonts w:ascii="Century Gothic" w:eastAsia="Calibri" w:hAnsi="Century Gothic" w:cs="Arial"/>
          <w:b/>
          <w:bCs/>
          <w:i/>
          <w:iCs/>
          <w:lang w:eastAsia="en-US"/>
        </w:rPr>
        <w:t>Izúcar de Matamoros</w:t>
      </w:r>
      <w:r w:rsidRPr="00C75799">
        <w:rPr>
          <w:rFonts w:ascii="Century Gothic" w:eastAsia="Calibri" w:hAnsi="Century Gothic" w:cs="Arial"/>
          <w:b/>
          <w:bCs/>
          <w:i/>
          <w:iCs/>
          <w:lang w:val="es-ES" w:eastAsia="en-US"/>
        </w:rPr>
        <w:t xml:space="preserve">, Jolalpan, Juan Galindo, Nealtican, Ocotepec, Ocoyucan, Puebla, San Andrés Cholula, San Martin Texmelucan, San Matías Tlalancaleca, San Pedro Cholula, San Pedro Yeloixtlahuacan, </w:t>
      </w:r>
      <w:r w:rsidRPr="00C75799">
        <w:rPr>
          <w:rFonts w:ascii="Century Gothic" w:eastAsia="Calibri" w:hAnsi="Century Gothic" w:cs="Arial"/>
          <w:b/>
          <w:bCs/>
          <w:i/>
          <w:iCs/>
          <w:lang w:eastAsia="en-US"/>
        </w:rPr>
        <w:t>Santiago Miahuatlán</w:t>
      </w:r>
      <w:r w:rsidRPr="00C75799">
        <w:rPr>
          <w:rFonts w:ascii="Century Gothic" w:eastAsia="Calibri" w:hAnsi="Century Gothic" w:cs="Arial"/>
          <w:b/>
          <w:bCs/>
          <w:i/>
          <w:iCs/>
          <w:lang w:val="es-ES" w:eastAsia="en-US"/>
        </w:rPr>
        <w:t>, Santo Tomas Hueyotlipan, Tecamachalco, Tehuacán, Tepeaca, Tepeojuma, Tetela de Ocampo</w:t>
      </w:r>
      <w:r w:rsidRPr="00C75799">
        <w:rPr>
          <w:rFonts w:ascii="Century Gothic" w:eastAsia="Calibri" w:hAnsi="Century Gothic" w:cs="Arial"/>
          <w:b/>
          <w:bCs/>
          <w:i/>
          <w:iCs/>
          <w:lang w:eastAsia="en-US"/>
        </w:rPr>
        <w:t>, Teziutlán</w:t>
      </w:r>
      <w:r w:rsidRPr="00C75799">
        <w:rPr>
          <w:rFonts w:ascii="Century Gothic" w:eastAsia="Calibri" w:hAnsi="Century Gothic" w:cs="Arial"/>
          <w:b/>
          <w:bCs/>
          <w:i/>
          <w:iCs/>
          <w:lang w:val="es-ES" w:eastAsia="en-US"/>
        </w:rPr>
        <w:t>, Tianguismanalco, Tlatlauquitepec, Totoltepec</w:t>
      </w:r>
      <w:r w:rsidRPr="00C75799">
        <w:rPr>
          <w:rFonts w:ascii="Century Gothic" w:eastAsia="Calibri" w:hAnsi="Century Gothic" w:cs="Arial"/>
          <w:b/>
          <w:bCs/>
          <w:i/>
          <w:iCs/>
          <w:lang w:eastAsia="en-US"/>
        </w:rPr>
        <w:t>, Xayacatlán de Bravo</w:t>
      </w:r>
      <w:r w:rsidRPr="00C75799">
        <w:rPr>
          <w:rFonts w:ascii="Century Gothic" w:eastAsia="Calibri" w:hAnsi="Century Gothic" w:cs="Arial"/>
          <w:b/>
          <w:bCs/>
          <w:i/>
          <w:iCs/>
          <w:lang w:val="es-ES" w:eastAsia="en-US"/>
        </w:rPr>
        <w:t xml:space="preserve">, Xiutetelco, Xochitlán Todos Santos, Yehualtepec, Zacapoaxtla, </w:t>
      </w:r>
      <w:r w:rsidRPr="00C75799">
        <w:rPr>
          <w:rFonts w:ascii="Century Gothic" w:eastAsia="Calibri" w:hAnsi="Century Gothic" w:cs="Arial"/>
          <w:b/>
          <w:bCs/>
          <w:i/>
          <w:iCs/>
          <w:lang w:eastAsia="en-US"/>
        </w:rPr>
        <w:t>Zacatlán</w:t>
      </w:r>
      <w:r w:rsidRPr="00C75799">
        <w:rPr>
          <w:rFonts w:ascii="Century Gothic" w:eastAsia="Calibri" w:hAnsi="Century Gothic" w:cs="Arial"/>
          <w:b/>
          <w:bCs/>
          <w:i/>
          <w:iCs/>
          <w:lang w:val="es-ES" w:eastAsia="en-US"/>
        </w:rPr>
        <w:t xml:space="preserve">, Zautla y Zinacatepec, </w:t>
      </w:r>
      <w:r w:rsidRPr="00C75799">
        <w:rPr>
          <w:rFonts w:ascii="Century Gothic" w:eastAsia="Calibri" w:hAnsi="Century Gothic" w:cs="Arial"/>
          <w:lang w:val="es-ES" w:eastAsia="en-US"/>
        </w:rPr>
        <w:t xml:space="preserve">a que realicen las acciones </w:t>
      </w:r>
      <w:r w:rsidRPr="00C75799">
        <w:rPr>
          <w:rFonts w:ascii="Century Gothic" w:eastAsia="Calibri" w:hAnsi="Century Gothic" w:cs="Arial"/>
          <w:lang w:eastAsia="en-US"/>
        </w:rPr>
        <w:t xml:space="preserve">de coordinación y colaboración con el Gobierno del Estado; para que regularicen los inmuebles destinados a Instituciones Educativas pertenecientes a sus municipios. </w:t>
      </w:r>
    </w:p>
    <w:p w14:paraId="7C29439C" w14:textId="5B50B123" w:rsidR="004E51A2" w:rsidRDefault="00C75799" w:rsidP="004E51A2">
      <w:pPr>
        <w:ind w:right="49" w:firstLine="708"/>
        <w:jc w:val="both"/>
        <w:rPr>
          <w:rFonts w:ascii="Century Gothic" w:eastAsia="Calibri" w:hAnsi="Century Gothic" w:cs="Arial"/>
          <w:lang w:eastAsia="en-US"/>
        </w:rPr>
      </w:pPr>
      <w:r w:rsidRPr="00C75799">
        <w:rPr>
          <w:rFonts w:ascii="Century Gothic" w:eastAsia="Calibri" w:hAnsi="Century Gothic" w:cs="Arial"/>
          <w:lang w:eastAsia="en-US"/>
        </w:rPr>
        <w:t>Que por lo anteriormente expuesto y fundado, me permito someter a consideración de esta Soberanía el siguiente:</w:t>
      </w:r>
    </w:p>
    <w:p w14:paraId="14BC6E78" w14:textId="77777777" w:rsidR="006871A8" w:rsidRPr="00C75799" w:rsidRDefault="006871A8" w:rsidP="003A0D48">
      <w:pPr>
        <w:spacing w:after="0" w:line="264" w:lineRule="auto"/>
        <w:ind w:right="49"/>
        <w:jc w:val="center"/>
        <w:rPr>
          <w:rFonts w:ascii="Century Gothic" w:eastAsia="Calibri" w:hAnsi="Century Gothic" w:cs="Arial"/>
          <w:b/>
          <w:color w:val="000000" w:themeColor="text1"/>
          <w:lang w:eastAsia="en-US"/>
        </w:rPr>
      </w:pPr>
      <w:r w:rsidRPr="00C75799">
        <w:rPr>
          <w:rFonts w:ascii="Century Gothic" w:eastAsia="Calibri" w:hAnsi="Century Gothic" w:cs="Arial"/>
          <w:b/>
          <w:color w:val="000000" w:themeColor="text1"/>
          <w:lang w:eastAsia="en-US"/>
        </w:rPr>
        <w:t>A C U E R D O</w:t>
      </w:r>
    </w:p>
    <w:p w14:paraId="1BE6AC91" w14:textId="77777777" w:rsidR="006871A8" w:rsidRPr="00C75799" w:rsidRDefault="006871A8" w:rsidP="003A0D48">
      <w:pPr>
        <w:spacing w:after="0" w:line="264" w:lineRule="auto"/>
        <w:ind w:right="49"/>
        <w:jc w:val="both"/>
        <w:rPr>
          <w:rFonts w:ascii="Century Gothic" w:eastAsia="Calibri" w:hAnsi="Century Gothic" w:cs="Arial"/>
          <w:color w:val="000000" w:themeColor="text1"/>
          <w:lang w:eastAsia="en-US"/>
        </w:rPr>
      </w:pPr>
    </w:p>
    <w:p w14:paraId="12984876" w14:textId="41A885A0" w:rsidR="002917B0" w:rsidRDefault="006871A8" w:rsidP="00FF4162">
      <w:pPr>
        <w:ind w:right="49"/>
        <w:jc w:val="both"/>
        <w:rPr>
          <w:rFonts w:ascii="Century Gothic" w:eastAsia="Calibri" w:hAnsi="Century Gothic" w:cs="Arial"/>
          <w:lang w:eastAsia="en-US"/>
        </w:rPr>
      </w:pPr>
      <w:r w:rsidRPr="00C75799">
        <w:rPr>
          <w:rFonts w:ascii="Century Gothic" w:eastAsia="Calibri" w:hAnsi="Century Gothic" w:cs="Arial"/>
          <w:b/>
          <w:color w:val="000000" w:themeColor="text1"/>
          <w:lang w:eastAsia="en-US"/>
        </w:rPr>
        <w:tab/>
      </w:r>
      <w:r w:rsidR="007A587D" w:rsidRPr="00C75799">
        <w:rPr>
          <w:rFonts w:ascii="Century Gothic" w:eastAsia="Calibri" w:hAnsi="Century Gothic" w:cs="Arial"/>
          <w:b/>
          <w:bCs/>
          <w:lang w:val="es-ES" w:eastAsia="en-US"/>
        </w:rPr>
        <w:t>ÚNICO.-</w:t>
      </w:r>
      <w:r w:rsidR="007A587D" w:rsidRPr="00C75799">
        <w:rPr>
          <w:rFonts w:ascii="Century Gothic" w:eastAsia="Calibri" w:hAnsi="Century Gothic" w:cs="Arial"/>
          <w:lang w:val="es-ES" w:eastAsia="en-US"/>
        </w:rPr>
        <w:t xml:space="preserve"> </w:t>
      </w:r>
      <w:r w:rsidR="007A587D" w:rsidRPr="00F85DBB">
        <w:rPr>
          <w:rFonts w:ascii="Century Gothic" w:eastAsia="Calibri" w:hAnsi="Century Gothic" w:cs="Arial"/>
          <w:lang w:val="es-ES" w:eastAsia="en-US"/>
        </w:rPr>
        <w:t xml:space="preserve">Se exhorta respetuosamente a los cuarenta y siete Ayuntamientos </w:t>
      </w:r>
      <w:r w:rsidR="00A26CB8" w:rsidRPr="00F85DBB">
        <w:rPr>
          <w:rFonts w:ascii="Century Gothic" w:eastAsia="Calibri" w:hAnsi="Century Gothic" w:cs="Arial"/>
          <w:lang w:val="es-ES" w:eastAsia="en-US"/>
        </w:rPr>
        <w:t xml:space="preserve">referidos en cuerpo del presente Acuerdo, </w:t>
      </w:r>
      <w:r w:rsidR="007A587D" w:rsidRPr="00F85DBB">
        <w:rPr>
          <w:rFonts w:ascii="Century Gothic" w:eastAsia="Calibri" w:hAnsi="Century Gothic" w:cs="Arial"/>
          <w:lang w:val="es-ES" w:eastAsia="en-US"/>
        </w:rPr>
        <w:t xml:space="preserve">para que en ámbito de sus atribuciones realicen las acciones </w:t>
      </w:r>
      <w:r w:rsidR="007A587D" w:rsidRPr="00F85DBB">
        <w:rPr>
          <w:rFonts w:ascii="Century Gothic" w:eastAsia="Calibri" w:hAnsi="Century Gothic" w:cs="Arial"/>
          <w:lang w:eastAsia="en-US"/>
        </w:rPr>
        <w:t xml:space="preserve">de coordinación y colaboración con el Gobierno del Estado, a través de la </w:t>
      </w:r>
      <w:r w:rsidR="007A587D" w:rsidRPr="00F85DBB">
        <w:rPr>
          <w:rFonts w:ascii="Century Gothic" w:eastAsia="Calibri" w:hAnsi="Century Gothic" w:cs="Arial"/>
          <w:lang w:val="es-ES" w:eastAsia="en-US"/>
        </w:rPr>
        <w:t>Dirección General de Tenencia de la Tierra y Población</w:t>
      </w:r>
      <w:r w:rsidR="007A587D" w:rsidRPr="00F85DBB">
        <w:rPr>
          <w:rFonts w:ascii="Century Gothic" w:eastAsia="Calibri" w:hAnsi="Century Gothic" w:cs="Arial"/>
          <w:lang w:eastAsia="en-US"/>
        </w:rPr>
        <w:t>; regularicen los inmuebles destinados a Instituciones Educativas y con ello les permita contar con un Título de Propiedad para garantizar el Desarrollo Educativo de las y los poblanos en la Infraestructura Escolar y de esa manera, tener acceso a la creación de espacios dignos para la mejora de las actividades educativas en la Entidad.</w:t>
      </w:r>
    </w:p>
    <w:p w14:paraId="791B12E7" w14:textId="77777777" w:rsidR="004E51A2" w:rsidRDefault="004E51A2" w:rsidP="00FF4162">
      <w:pPr>
        <w:ind w:right="49"/>
        <w:jc w:val="both"/>
        <w:rPr>
          <w:rFonts w:ascii="Century Gothic" w:eastAsia="Calibri" w:hAnsi="Century Gothic" w:cs="Arial"/>
          <w:lang w:eastAsia="en-US"/>
        </w:rPr>
      </w:pPr>
    </w:p>
    <w:p w14:paraId="0DFF3D6B" w14:textId="7FDB13EC" w:rsidR="00C75799" w:rsidRPr="00C75799" w:rsidRDefault="00C75799" w:rsidP="00C75799">
      <w:pPr>
        <w:ind w:right="49"/>
        <w:jc w:val="center"/>
        <w:rPr>
          <w:rFonts w:ascii="Century Gothic" w:eastAsia="Times New Roman" w:hAnsi="Century Gothic" w:cs="Arial"/>
          <w:b/>
          <w:color w:val="000000" w:themeColor="text1"/>
          <w:lang w:val="de-DE" w:eastAsia="es-ES"/>
        </w:rPr>
      </w:pPr>
      <w:r w:rsidRPr="00C75799">
        <w:rPr>
          <w:rFonts w:ascii="Century Gothic" w:eastAsia="Times New Roman" w:hAnsi="Century Gothic" w:cs="Arial"/>
          <w:b/>
          <w:color w:val="000000" w:themeColor="text1"/>
          <w:lang w:val="de-DE" w:eastAsia="es-ES"/>
        </w:rPr>
        <w:t>A T E N T A M E N T E</w:t>
      </w:r>
    </w:p>
    <w:p w14:paraId="13E3E187" w14:textId="038B220D" w:rsidR="00C75799" w:rsidRPr="00C75799" w:rsidRDefault="00C75799" w:rsidP="00C75799">
      <w:pPr>
        <w:ind w:right="49"/>
        <w:jc w:val="center"/>
        <w:rPr>
          <w:rFonts w:ascii="Century Gothic" w:eastAsia="Times New Roman" w:hAnsi="Century Gothic" w:cs="Arial"/>
          <w:b/>
          <w:color w:val="000000" w:themeColor="text1"/>
          <w:lang w:val="de-DE" w:eastAsia="es-ES"/>
        </w:rPr>
      </w:pPr>
      <w:r w:rsidRPr="00C75799">
        <w:rPr>
          <w:rFonts w:ascii="Century Gothic" w:eastAsia="Times New Roman" w:hAnsi="Century Gothic" w:cs="Arial"/>
          <w:b/>
          <w:color w:val="000000" w:themeColor="text1"/>
          <w:lang w:val="de-DE" w:eastAsia="es-ES"/>
        </w:rPr>
        <w:t>CUATRO VECES HEROICA PUEBLA DE ZARAGOZA,</w:t>
      </w:r>
    </w:p>
    <w:p w14:paraId="48CBE180" w14:textId="6DDCFF04" w:rsidR="00C75799" w:rsidRDefault="00C75799" w:rsidP="00C75799">
      <w:pPr>
        <w:ind w:right="49"/>
        <w:jc w:val="center"/>
        <w:rPr>
          <w:rFonts w:ascii="Century Gothic" w:eastAsia="Times New Roman" w:hAnsi="Century Gothic" w:cs="Arial"/>
          <w:b/>
          <w:color w:val="000000" w:themeColor="text1"/>
          <w:lang w:val="de-DE" w:eastAsia="es-ES"/>
        </w:rPr>
      </w:pPr>
      <w:r w:rsidRPr="00C75799">
        <w:rPr>
          <w:rFonts w:ascii="Century Gothic" w:eastAsia="Times New Roman" w:hAnsi="Century Gothic" w:cs="Arial"/>
          <w:b/>
          <w:color w:val="000000" w:themeColor="text1"/>
          <w:lang w:val="de-DE" w:eastAsia="es-ES"/>
        </w:rPr>
        <w:t xml:space="preserve">A </w:t>
      </w:r>
      <w:r w:rsidR="002917B0">
        <w:rPr>
          <w:rFonts w:ascii="Century Gothic" w:eastAsia="Times New Roman" w:hAnsi="Century Gothic" w:cs="Arial"/>
          <w:b/>
          <w:color w:val="000000" w:themeColor="text1"/>
          <w:lang w:val="de-DE" w:eastAsia="es-ES"/>
        </w:rPr>
        <w:t>09</w:t>
      </w:r>
      <w:r w:rsidRPr="00C75799">
        <w:rPr>
          <w:rFonts w:ascii="Century Gothic" w:eastAsia="Times New Roman" w:hAnsi="Century Gothic" w:cs="Arial"/>
          <w:b/>
          <w:color w:val="000000" w:themeColor="text1"/>
          <w:lang w:val="de-DE" w:eastAsia="es-ES"/>
        </w:rPr>
        <w:t xml:space="preserve"> DE </w:t>
      </w:r>
      <w:r w:rsidR="002917B0">
        <w:rPr>
          <w:rFonts w:ascii="Century Gothic" w:eastAsia="Times New Roman" w:hAnsi="Century Gothic" w:cs="Arial"/>
          <w:b/>
          <w:color w:val="000000" w:themeColor="text1"/>
          <w:lang w:val="de-DE" w:eastAsia="es-ES"/>
        </w:rPr>
        <w:t xml:space="preserve">MAYO </w:t>
      </w:r>
      <w:r w:rsidRPr="00C75799">
        <w:rPr>
          <w:rFonts w:ascii="Century Gothic" w:eastAsia="Times New Roman" w:hAnsi="Century Gothic" w:cs="Arial"/>
          <w:b/>
          <w:color w:val="000000" w:themeColor="text1"/>
          <w:lang w:val="de-DE" w:eastAsia="es-ES"/>
        </w:rPr>
        <w:t>DE 2022</w:t>
      </w:r>
    </w:p>
    <w:p w14:paraId="52301C10" w14:textId="77777777" w:rsidR="00FF4162" w:rsidRPr="00C75799" w:rsidRDefault="00FF4162" w:rsidP="00C75799">
      <w:pPr>
        <w:ind w:right="49"/>
        <w:jc w:val="center"/>
        <w:rPr>
          <w:rFonts w:ascii="Century Gothic" w:eastAsia="Times New Roman" w:hAnsi="Century Gothic" w:cs="Arial"/>
          <w:b/>
          <w:color w:val="000000" w:themeColor="text1"/>
          <w:lang w:val="de-DE" w:eastAsia="es-ES"/>
        </w:rPr>
      </w:pPr>
    </w:p>
    <w:p w14:paraId="6D1A68A4" w14:textId="6687111F" w:rsidR="004D48F7" w:rsidRPr="002C1BA9" w:rsidRDefault="002917B0" w:rsidP="002917B0">
      <w:pPr>
        <w:ind w:right="49"/>
        <w:jc w:val="center"/>
        <w:rPr>
          <w:rFonts w:ascii="Century Gothic" w:eastAsia="Times New Roman" w:hAnsi="Century Gothic" w:cs="Arial"/>
          <w:b/>
          <w:color w:val="000000" w:themeColor="text1"/>
          <w:lang w:val="de-DE" w:eastAsia="es-ES"/>
        </w:rPr>
      </w:pPr>
      <w:r w:rsidRPr="002917B0">
        <w:rPr>
          <w:rFonts w:ascii="Century Gothic" w:eastAsia="Times New Roman" w:hAnsi="Century Gothic" w:cs="Arial"/>
          <w:b/>
          <w:bCs/>
          <w:iCs/>
          <w:lang w:eastAsia="es-ES"/>
        </w:rPr>
        <w:t xml:space="preserve">DIP. </w:t>
      </w:r>
      <w:hyperlink r:id="rId10" w:tgtFrame="_blank" w:history="1">
        <w:r w:rsidRPr="002917B0">
          <w:rPr>
            <w:rStyle w:val="Hipervnculo"/>
            <w:rFonts w:ascii="Century Gothic" w:eastAsia="Times New Roman" w:hAnsi="Century Gothic" w:cs="Arial"/>
            <w:b/>
            <w:bCs/>
            <w:iCs/>
            <w:color w:val="auto"/>
            <w:u w:val="none"/>
            <w:lang w:eastAsia="es-ES"/>
          </w:rPr>
          <w:t>MARÍA RUTH ZÁRATE DOMÍNGUEZ</w:t>
        </w:r>
      </w:hyperlink>
    </w:p>
    <w:sectPr w:rsidR="004D48F7" w:rsidRPr="002C1B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AE307" w14:textId="77777777" w:rsidR="004C7B0E" w:rsidRDefault="004C7B0E" w:rsidP="006871A8">
      <w:pPr>
        <w:spacing w:after="0" w:line="240" w:lineRule="auto"/>
      </w:pPr>
      <w:r>
        <w:separator/>
      </w:r>
    </w:p>
  </w:endnote>
  <w:endnote w:type="continuationSeparator" w:id="0">
    <w:p w14:paraId="637B1038" w14:textId="77777777" w:rsidR="004C7B0E" w:rsidRDefault="004C7B0E" w:rsidP="0068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486CA" w14:textId="77777777" w:rsidR="00C75799" w:rsidRDefault="00C7579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12021" w14:textId="77777777" w:rsidR="00CE5BBD" w:rsidRDefault="004C7B0E" w:rsidP="00CE5BBD">
    <w:pPr>
      <w:pStyle w:val="Piedepgina"/>
      <w:spacing w:line="360" w:lineRule="auto"/>
      <w:jc w:val="center"/>
      <w:rPr>
        <w:rFonts w:ascii="Gotham Book" w:hAnsi="Gotham Book"/>
        <w:sz w:val="20"/>
        <w:szCs w:val="20"/>
        <w:lang w:val="es-MX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3E554" w14:textId="77777777" w:rsidR="00C75799" w:rsidRDefault="00C757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35E9F" w14:textId="77777777" w:rsidR="004C7B0E" w:rsidRDefault="004C7B0E" w:rsidP="006871A8">
      <w:pPr>
        <w:spacing w:after="0" w:line="240" w:lineRule="auto"/>
      </w:pPr>
      <w:r>
        <w:separator/>
      </w:r>
    </w:p>
  </w:footnote>
  <w:footnote w:type="continuationSeparator" w:id="0">
    <w:p w14:paraId="0F03E7C7" w14:textId="77777777" w:rsidR="004C7B0E" w:rsidRDefault="004C7B0E" w:rsidP="00687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D0AC1" w14:textId="040B2EB6" w:rsidR="00C75799" w:rsidRDefault="004C7B0E">
    <w:pPr>
      <w:pStyle w:val="Encabezado"/>
    </w:pPr>
    <w:r>
      <w:rPr>
        <w:noProof/>
      </w:rPr>
      <w:pict w14:anchorId="3C0B9D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2741922" o:spid="_x0000_s1027" type="#_x0000_t75" style="position:absolute;margin-left:0;margin-top:0;width:441.7pt;height:572.35pt;z-index:-251657216;mso-position-horizontal:center;mso-position-horizontal-relative:margin;mso-position-vertical:center;mso-position-vertical-relative:margin" o:allowincell="f">
          <v:imagedata r:id="rId1" o:title="thumbnail_LogotipoCongreso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1C1C4" w14:textId="24990BB5" w:rsidR="00CE5BBD" w:rsidRDefault="004C7B0E">
    <w:pPr>
      <w:pStyle w:val="Encabezado"/>
    </w:pPr>
    <w:r>
      <w:rPr>
        <w:noProof/>
        <w:sz w:val="26"/>
        <w:szCs w:val="26"/>
        <w:lang w:val="es-MX" w:eastAsia="es-MX"/>
      </w:rPr>
      <w:pict w14:anchorId="1E62E2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2741923" o:spid="_x0000_s1028" type="#_x0000_t75" style="position:absolute;margin-left:0;margin-top:0;width:441.7pt;height:572.35pt;z-index:-251656192;mso-position-horizontal:center;mso-position-horizontal-relative:margin;mso-position-vertical:center;mso-position-vertical-relative:margin" o:allowincell="f">
          <v:imagedata r:id="rId1" o:title="thumbnail_LogotipoCongresoV" gain="19661f" blacklevel="22938f"/>
          <w10:wrap anchorx="margin" anchory="margin"/>
        </v:shape>
      </w:pict>
    </w:r>
    <w:r w:rsidR="00604290" w:rsidRPr="006D76B9">
      <w:rPr>
        <w:noProof/>
        <w:sz w:val="26"/>
        <w:szCs w:val="26"/>
        <w:lang w:val="es-MX" w:eastAsia="es-MX"/>
      </w:rPr>
      <w:drawing>
        <wp:anchor distT="0" distB="0" distL="114300" distR="114300" simplePos="0" relativeHeight="251657216" behindDoc="0" locked="0" layoutInCell="1" allowOverlap="1" wp14:anchorId="1F2B925F" wp14:editId="062C7F4A">
          <wp:simplePos x="0" y="0"/>
          <wp:positionH relativeFrom="margin">
            <wp:align>left</wp:align>
          </wp:positionH>
          <wp:positionV relativeFrom="paragraph">
            <wp:posOffset>-149225</wp:posOffset>
          </wp:positionV>
          <wp:extent cx="2362200" cy="942420"/>
          <wp:effectExtent l="0" t="0" r="0" b="0"/>
          <wp:wrapNone/>
          <wp:docPr id="6" name="Imagen 6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&#10;&#10;Descripción generada automáticamente con confianza media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94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436A93" w14:textId="2C890552" w:rsidR="00CE5BBD" w:rsidRDefault="004C7B0E">
    <w:pPr>
      <w:pStyle w:val="Encabezado"/>
    </w:pPr>
  </w:p>
  <w:p w14:paraId="275C523C" w14:textId="77777777" w:rsidR="00CE5BBD" w:rsidRDefault="004C7B0E">
    <w:pPr>
      <w:pStyle w:val="Encabezado"/>
    </w:pPr>
  </w:p>
  <w:p w14:paraId="1BCB908E" w14:textId="77777777" w:rsidR="00CE5BBD" w:rsidRDefault="004C7B0E">
    <w:pPr>
      <w:pStyle w:val="Encabezado"/>
    </w:pPr>
  </w:p>
  <w:p w14:paraId="6B75595F" w14:textId="77777777" w:rsidR="00CE5BBD" w:rsidRDefault="004C7B0E">
    <w:pPr>
      <w:pStyle w:val="Encabezado"/>
    </w:pPr>
  </w:p>
  <w:p w14:paraId="0FF27DC9" w14:textId="77777777" w:rsidR="00CE5BBD" w:rsidRDefault="004C7B0E">
    <w:pPr>
      <w:pStyle w:val="Encabezado"/>
    </w:pPr>
  </w:p>
  <w:p w14:paraId="64D04DA0" w14:textId="77777777" w:rsidR="00CE5BBD" w:rsidRDefault="004C7B0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22B6C" w14:textId="0C4190A6" w:rsidR="00C75799" w:rsidRDefault="004C7B0E">
    <w:pPr>
      <w:pStyle w:val="Encabezado"/>
    </w:pPr>
    <w:r>
      <w:rPr>
        <w:noProof/>
      </w:rPr>
      <w:pict w14:anchorId="4A56EE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2741921" o:spid="_x0000_s1026" type="#_x0000_t75" style="position:absolute;margin-left:0;margin-top:0;width:441.7pt;height:572.35pt;z-index:-251658240;mso-position-horizontal:center;mso-position-horizontal-relative:margin;mso-position-vertical:center;mso-position-vertical-relative:margin" o:allowincell="f">
          <v:imagedata r:id="rId1" o:title="thumbnail_LogotipoCongresoV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B537D"/>
    <w:multiLevelType w:val="hybridMultilevel"/>
    <w:tmpl w:val="527249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A14DD"/>
    <w:multiLevelType w:val="hybridMultilevel"/>
    <w:tmpl w:val="2C6E03B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6F040C4"/>
    <w:multiLevelType w:val="hybridMultilevel"/>
    <w:tmpl w:val="A97CAB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13819"/>
    <w:multiLevelType w:val="hybridMultilevel"/>
    <w:tmpl w:val="92600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377E2"/>
    <w:multiLevelType w:val="hybridMultilevel"/>
    <w:tmpl w:val="053AD546"/>
    <w:lvl w:ilvl="0" w:tplc="6B7017D8">
      <w:start w:val="1"/>
      <w:numFmt w:val="decimal"/>
      <w:lvlText w:val="%1)"/>
      <w:lvlJc w:val="left"/>
      <w:pPr>
        <w:ind w:left="1017" w:hanging="45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A2D6411"/>
    <w:multiLevelType w:val="hybridMultilevel"/>
    <w:tmpl w:val="7D22E3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142074">
    <w:abstractNumId w:val="3"/>
  </w:num>
  <w:num w:numId="2" w16cid:durableId="508182939">
    <w:abstractNumId w:val="1"/>
  </w:num>
  <w:num w:numId="3" w16cid:durableId="1072387984">
    <w:abstractNumId w:val="5"/>
  </w:num>
  <w:num w:numId="4" w16cid:durableId="1990743997">
    <w:abstractNumId w:val="2"/>
  </w:num>
  <w:num w:numId="5" w16cid:durableId="1864514631">
    <w:abstractNumId w:val="4"/>
  </w:num>
  <w:num w:numId="6" w16cid:durableId="282081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1A8"/>
    <w:rsid w:val="00000A00"/>
    <w:rsid w:val="00002858"/>
    <w:rsid w:val="00051C3D"/>
    <w:rsid w:val="000A4CAA"/>
    <w:rsid w:val="001076FA"/>
    <w:rsid w:val="0013012F"/>
    <w:rsid w:val="00135B30"/>
    <w:rsid w:val="00182AE5"/>
    <w:rsid w:val="0018557F"/>
    <w:rsid w:val="0019477F"/>
    <w:rsid w:val="001E1D99"/>
    <w:rsid w:val="0021068E"/>
    <w:rsid w:val="00214B25"/>
    <w:rsid w:val="002172AE"/>
    <w:rsid w:val="00222A97"/>
    <w:rsid w:val="00227178"/>
    <w:rsid w:val="00285974"/>
    <w:rsid w:val="00290798"/>
    <w:rsid w:val="002917B0"/>
    <w:rsid w:val="00292AA2"/>
    <w:rsid w:val="002B27A2"/>
    <w:rsid w:val="002C1BA9"/>
    <w:rsid w:val="003040F1"/>
    <w:rsid w:val="00316A21"/>
    <w:rsid w:val="00343AF1"/>
    <w:rsid w:val="00347E88"/>
    <w:rsid w:val="00373760"/>
    <w:rsid w:val="0037612E"/>
    <w:rsid w:val="003825F9"/>
    <w:rsid w:val="003A0D48"/>
    <w:rsid w:val="003D7F91"/>
    <w:rsid w:val="003E353B"/>
    <w:rsid w:val="003F111F"/>
    <w:rsid w:val="004069EA"/>
    <w:rsid w:val="00461820"/>
    <w:rsid w:val="00483C3F"/>
    <w:rsid w:val="0048462A"/>
    <w:rsid w:val="004B0520"/>
    <w:rsid w:val="004B2367"/>
    <w:rsid w:val="004C7B0E"/>
    <w:rsid w:val="004D48F7"/>
    <w:rsid w:val="004E51A2"/>
    <w:rsid w:val="004E6CD6"/>
    <w:rsid w:val="00504280"/>
    <w:rsid w:val="00504A06"/>
    <w:rsid w:val="00506782"/>
    <w:rsid w:val="0054345C"/>
    <w:rsid w:val="00550E9D"/>
    <w:rsid w:val="005548E3"/>
    <w:rsid w:val="00561D68"/>
    <w:rsid w:val="0058732C"/>
    <w:rsid w:val="00595DDE"/>
    <w:rsid w:val="005A37DF"/>
    <w:rsid w:val="005B5DEC"/>
    <w:rsid w:val="005C041E"/>
    <w:rsid w:val="005F0E65"/>
    <w:rsid w:val="005F6504"/>
    <w:rsid w:val="00604290"/>
    <w:rsid w:val="006300FA"/>
    <w:rsid w:val="0064330F"/>
    <w:rsid w:val="006871A8"/>
    <w:rsid w:val="006964F3"/>
    <w:rsid w:val="006A1CAD"/>
    <w:rsid w:val="006A2BF6"/>
    <w:rsid w:val="006B0B20"/>
    <w:rsid w:val="006C1591"/>
    <w:rsid w:val="006F7CB0"/>
    <w:rsid w:val="00710D67"/>
    <w:rsid w:val="007217A9"/>
    <w:rsid w:val="00741F08"/>
    <w:rsid w:val="007570A6"/>
    <w:rsid w:val="00760DE5"/>
    <w:rsid w:val="007773AE"/>
    <w:rsid w:val="00777471"/>
    <w:rsid w:val="00786D06"/>
    <w:rsid w:val="007929E2"/>
    <w:rsid w:val="007A587D"/>
    <w:rsid w:val="007C47DC"/>
    <w:rsid w:val="008052A8"/>
    <w:rsid w:val="0081095F"/>
    <w:rsid w:val="00811507"/>
    <w:rsid w:val="008232A4"/>
    <w:rsid w:val="00836A2F"/>
    <w:rsid w:val="008461B6"/>
    <w:rsid w:val="00883095"/>
    <w:rsid w:val="008924F8"/>
    <w:rsid w:val="008C33D1"/>
    <w:rsid w:val="008C3925"/>
    <w:rsid w:val="008F76FA"/>
    <w:rsid w:val="00905FE1"/>
    <w:rsid w:val="00916675"/>
    <w:rsid w:val="00942707"/>
    <w:rsid w:val="0095573E"/>
    <w:rsid w:val="00956B50"/>
    <w:rsid w:val="00957A3A"/>
    <w:rsid w:val="009A4D98"/>
    <w:rsid w:val="009C07FF"/>
    <w:rsid w:val="009D463A"/>
    <w:rsid w:val="009E55A1"/>
    <w:rsid w:val="009F7A5A"/>
    <w:rsid w:val="00A110C6"/>
    <w:rsid w:val="00A11AEA"/>
    <w:rsid w:val="00A1427F"/>
    <w:rsid w:val="00A161BE"/>
    <w:rsid w:val="00A24378"/>
    <w:rsid w:val="00A26CB8"/>
    <w:rsid w:val="00A56322"/>
    <w:rsid w:val="00A82513"/>
    <w:rsid w:val="00AB182E"/>
    <w:rsid w:val="00AB4FDA"/>
    <w:rsid w:val="00AC2E7B"/>
    <w:rsid w:val="00AF26C7"/>
    <w:rsid w:val="00B8364F"/>
    <w:rsid w:val="00BA2E05"/>
    <w:rsid w:val="00BB5209"/>
    <w:rsid w:val="00C037D1"/>
    <w:rsid w:val="00C11771"/>
    <w:rsid w:val="00C32BA2"/>
    <w:rsid w:val="00C3598E"/>
    <w:rsid w:val="00C604BD"/>
    <w:rsid w:val="00C75799"/>
    <w:rsid w:val="00C75C55"/>
    <w:rsid w:val="00C93B22"/>
    <w:rsid w:val="00CB0605"/>
    <w:rsid w:val="00CB7A7A"/>
    <w:rsid w:val="00CD1065"/>
    <w:rsid w:val="00CF107E"/>
    <w:rsid w:val="00D11BF3"/>
    <w:rsid w:val="00D32092"/>
    <w:rsid w:val="00D43B35"/>
    <w:rsid w:val="00D61980"/>
    <w:rsid w:val="00D74D34"/>
    <w:rsid w:val="00D845E3"/>
    <w:rsid w:val="00D96EDA"/>
    <w:rsid w:val="00DA3C6A"/>
    <w:rsid w:val="00DA5162"/>
    <w:rsid w:val="00DB13EF"/>
    <w:rsid w:val="00DB2465"/>
    <w:rsid w:val="00DC0560"/>
    <w:rsid w:val="00DC2DB8"/>
    <w:rsid w:val="00DD430B"/>
    <w:rsid w:val="00DF2E19"/>
    <w:rsid w:val="00DF7388"/>
    <w:rsid w:val="00E135CE"/>
    <w:rsid w:val="00E52F6C"/>
    <w:rsid w:val="00E73BD7"/>
    <w:rsid w:val="00E82094"/>
    <w:rsid w:val="00ED6627"/>
    <w:rsid w:val="00EE203C"/>
    <w:rsid w:val="00EF23EB"/>
    <w:rsid w:val="00EF3BC1"/>
    <w:rsid w:val="00F5026F"/>
    <w:rsid w:val="00F85DBB"/>
    <w:rsid w:val="00F862CF"/>
    <w:rsid w:val="00FF0BC6"/>
    <w:rsid w:val="00FF249A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378F7D"/>
  <w15:chartTrackingRefBased/>
  <w15:docId w15:val="{40AFA8A5-35AE-4876-B0A1-A69BEA5B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1A8"/>
    <w:rPr>
      <w:rFonts w:eastAsiaTheme="minorEastAsia"/>
      <w:lang w:eastAsia="ja-JP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45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71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871A8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871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871A8"/>
    <w:rPr>
      <w:lang w:val="en-US"/>
    </w:rPr>
  </w:style>
  <w:style w:type="paragraph" w:styleId="Prrafodelista">
    <w:name w:val="List Paragraph"/>
    <w:basedOn w:val="Normal"/>
    <w:uiPriority w:val="34"/>
    <w:qFormat/>
    <w:rsid w:val="006871A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871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71A8"/>
    <w:rPr>
      <w:rFonts w:eastAsiaTheme="minorEastAsia"/>
      <w:sz w:val="20"/>
      <w:szCs w:val="20"/>
      <w:lang w:eastAsia="ja-JP"/>
    </w:rPr>
  </w:style>
  <w:style w:type="character" w:styleId="Refdenotaalpie">
    <w:name w:val="footnote reference"/>
    <w:basedOn w:val="Fuentedeprrafopredeter"/>
    <w:uiPriority w:val="99"/>
    <w:semiHidden/>
    <w:unhideWhenUsed/>
    <w:rsid w:val="006871A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A2BF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A2BF6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845E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character" w:styleId="Hipervnculovisitado">
    <w:name w:val="FollowedHyperlink"/>
    <w:basedOn w:val="Fuentedeprrafopredeter"/>
    <w:uiPriority w:val="99"/>
    <w:semiHidden/>
    <w:unhideWhenUsed/>
    <w:rsid w:val="0064330F"/>
    <w:rPr>
      <w:color w:val="954F72" w:themeColor="followedHyperlink"/>
      <w:u w:val="single"/>
    </w:rPr>
  </w:style>
  <w:style w:type="character" w:customStyle="1" w:styleId="markedcontent">
    <w:name w:val="markedcontent"/>
    <w:basedOn w:val="Fuentedeprrafopredeter"/>
    <w:rsid w:val="00D43B35"/>
  </w:style>
  <w:style w:type="table" w:styleId="Tablaconcuadrcula">
    <w:name w:val="Table Grid"/>
    <w:basedOn w:val="Tablanormal"/>
    <w:uiPriority w:val="39"/>
    <w:rsid w:val="00373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A1tGGo3YO5E6LrYQ2rRyaIUqC-NC7Rdi/view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rive.google.com/file/d/1A1tGGo3YO5E6LrYQ2rRyaIUqC-NC7Rdi/vie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DA8D7-CD18-422D-9BDB-FDEA34C6C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1190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Esteban Israel Mejía Romero</cp:lastModifiedBy>
  <cp:revision>2</cp:revision>
  <dcterms:created xsi:type="dcterms:W3CDTF">2022-05-11T21:51:00Z</dcterms:created>
  <dcterms:modified xsi:type="dcterms:W3CDTF">2022-05-11T21:51:00Z</dcterms:modified>
</cp:coreProperties>
</file>