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63B" w14:textId="77777777" w:rsidR="006871A8" w:rsidRPr="00573C41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</w:pPr>
      <w:r w:rsidRPr="00573C41"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  <w:t>CIUDADANOS DIPUTADOS INTEGRANTES</w:t>
      </w:r>
    </w:p>
    <w:p w14:paraId="473E7C2A" w14:textId="77777777" w:rsidR="006871A8" w:rsidRPr="00573C41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</w:pPr>
      <w:r w:rsidRPr="00573C41"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  <w:t>DE LA MESA DIRECTIVA DE LA LXI LEGISLATURA</w:t>
      </w:r>
    </w:p>
    <w:p w14:paraId="432E22DC" w14:textId="77777777" w:rsidR="006871A8" w:rsidRPr="00573C41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</w:pPr>
      <w:r w:rsidRPr="00573C41"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  <w:t>DEL HONORABLE CONGRESO DEL ESTADO</w:t>
      </w:r>
    </w:p>
    <w:p w14:paraId="5BFC3653" w14:textId="77777777" w:rsidR="006871A8" w:rsidRPr="00573C41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</w:pPr>
      <w:r w:rsidRPr="00573C41"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75BCF746" w14:textId="77777777" w:rsidR="006871A8" w:rsidRPr="00573C41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</w:pPr>
      <w:r w:rsidRPr="00573C41"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2B0B9B26" w14:textId="77777777" w:rsidR="006871A8" w:rsidRPr="00573C41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sz w:val="24"/>
          <w:szCs w:val="24"/>
          <w:u w:color="000000"/>
          <w:bdr w:val="nil"/>
          <w:lang w:val="es-ES_tradnl" w:eastAsia="es-ES"/>
        </w:rPr>
      </w:pPr>
    </w:p>
    <w:p w14:paraId="774BDCBD" w14:textId="14D01771" w:rsidR="006871A8" w:rsidRPr="004A5428" w:rsidRDefault="006871A8" w:rsidP="006871A8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73C41">
        <w:rPr>
          <w:rFonts w:ascii="Arial" w:eastAsia="Calibri" w:hAnsi="Arial" w:cs="Arial"/>
          <w:sz w:val="24"/>
          <w:szCs w:val="24"/>
          <w:lang w:eastAsia="en-US"/>
        </w:rPr>
        <w:tab/>
      </w:r>
      <w:r w:rsidR="004A5428">
        <w:rPr>
          <w:rFonts w:ascii="Arial" w:eastAsia="Calibri" w:hAnsi="Arial" w:cs="Arial"/>
          <w:sz w:val="24"/>
          <w:szCs w:val="24"/>
          <w:lang w:eastAsia="en-US"/>
        </w:rPr>
        <w:t>El</w:t>
      </w:r>
      <w:r w:rsidR="00F92FD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>suscrit</w:t>
      </w:r>
      <w:r w:rsidR="004A5428">
        <w:rPr>
          <w:rFonts w:ascii="Arial" w:eastAsia="Calibri" w:hAnsi="Arial" w:cs="Arial"/>
          <w:sz w:val="24"/>
          <w:szCs w:val="24"/>
          <w:lang w:eastAsia="en-US"/>
        </w:rPr>
        <w:t>o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Diputad</w:t>
      </w:r>
      <w:r w:rsidR="004A5428">
        <w:rPr>
          <w:rFonts w:ascii="Arial" w:hAnsi="Arial" w:cs="Arial"/>
          <w:sz w:val="24"/>
          <w:szCs w:val="24"/>
        </w:rPr>
        <w:t>o</w:t>
      </w:r>
      <w:r w:rsidR="004A5428" w:rsidRPr="004A5428">
        <w:t xml:space="preserve"> </w:t>
      </w:r>
      <w:r w:rsidR="004A5428" w:rsidRPr="004A5428">
        <w:rPr>
          <w:rFonts w:ascii="Arial" w:hAnsi="Arial" w:cs="Arial"/>
          <w:sz w:val="24"/>
          <w:szCs w:val="24"/>
        </w:rPr>
        <w:t>Edgar Valentín Garmendia de los Santos</w:t>
      </w:r>
      <w:r w:rsidRPr="00F92FD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integrante del Grupo Legislativo </w:t>
      </w:r>
      <w:r w:rsidR="00604290" w:rsidRPr="00573C41">
        <w:rPr>
          <w:rFonts w:ascii="Arial" w:eastAsia="Calibri" w:hAnsi="Arial" w:cs="Arial"/>
          <w:sz w:val="24"/>
          <w:szCs w:val="24"/>
          <w:lang w:eastAsia="en-US"/>
        </w:rPr>
        <w:t xml:space="preserve">de </w:t>
      </w:r>
      <w:r w:rsidR="00F92FDC" w:rsidRPr="00573C41">
        <w:rPr>
          <w:rFonts w:ascii="Arial" w:eastAsia="Calibri" w:hAnsi="Arial" w:cs="Arial"/>
          <w:b/>
          <w:bCs/>
          <w:sz w:val="24"/>
          <w:szCs w:val="24"/>
          <w:lang w:eastAsia="en-US"/>
        </w:rPr>
        <w:t>MORENA</w:t>
      </w:r>
      <w:r w:rsidR="007F580B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de la LXI Legislatura del Honorable Congreso del Estado, con fundamento en lo dispuesto por los artículos </w:t>
      </w:r>
      <w:r w:rsidRPr="00573C41">
        <w:rPr>
          <w:rFonts w:ascii="Arial" w:eastAsia="Times New Roman" w:hAnsi="Arial" w:cs="Arial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573C41">
        <w:rPr>
          <w:rFonts w:ascii="Arial" w:hAnsi="Arial" w:cs="Arial"/>
          <w:sz w:val="24"/>
          <w:szCs w:val="24"/>
        </w:rPr>
        <w:t>,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6A9D9E83" w14:textId="475D60A4" w:rsidR="006871A8" w:rsidRPr="00573C41" w:rsidRDefault="006871A8" w:rsidP="006871A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4514FBD" w14:textId="77777777" w:rsidR="007F580B" w:rsidRPr="00573C41" w:rsidRDefault="007F580B" w:rsidP="006871A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D6EE3E" w14:textId="0585CE4E" w:rsidR="006871A8" w:rsidRPr="00573C41" w:rsidRDefault="006871A8" w:rsidP="006871A8">
      <w:pPr>
        <w:spacing w:after="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sz w:val="24"/>
          <w:szCs w:val="24"/>
          <w:lang w:eastAsia="en-US"/>
        </w:rPr>
        <w:t>C O N S I D E R A N D O S</w:t>
      </w:r>
    </w:p>
    <w:p w14:paraId="7B701F71" w14:textId="0013FB8C" w:rsidR="00A110C6" w:rsidRPr="00573C41" w:rsidRDefault="00A110C6" w:rsidP="00A110C6">
      <w:pPr>
        <w:spacing w:after="0" w:line="264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9A5D77E" w14:textId="52D3D64D" w:rsidR="00D43B35" w:rsidRPr="00573C41" w:rsidRDefault="00D43B35" w:rsidP="00135B30">
      <w:pPr>
        <w:spacing w:after="0" w:line="264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Que </w:t>
      </w:r>
      <w:r w:rsidR="009D427A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con fecha </w:t>
      </w:r>
      <w:r w:rsidR="006964F3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dos de febrero de dos mil veintiuno,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el Titular del Ejecutivo del Estado</w:t>
      </w:r>
      <w:r w:rsidR="00290798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de Puebla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="00C93B22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expid</w:t>
      </w:r>
      <w:r w:rsidR="00286406" w:rsidRPr="00573C41">
        <w:rPr>
          <w:rFonts w:ascii="Arial" w:eastAsia="Calibri" w:hAnsi="Arial" w:cs="Arial"/>
          <w:bCs/>
          <w:sz w:val="24"/>
          <w:szCs w:val="24"/>
          <w:lang w:eastAsia="en-US"/>
        </w:rPr>
        <w:t>ió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el Programa de Regularización de Predios Rústicos, Urbanos y Suburbanos en el Régimen de Propiedad Privada del Estado de Puebla</w:t>
      </w:r>
      <w:r w:rsidR="009D427A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“Programa Estatal”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07C52345" w14:textId="06A8ECE0" w:rsidR="00D43B35" w:rsidRPr="00573C41" w:rsidRDefault="00D43B35" w:rsidP="00A110C6">
      <w:pPr>
        <w:spacing w:after="0" w:line="264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6E52814" w14:textId="54BDDD45" w:rsidR="00504280" w:rsidRPr="00573C41" w:rsidRDefault="00504280" w:rsidP="00135B30">
      <w:pPr>
        <w:spacing w:after="0" w:line="264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Que lo</w:t>
      </w:r>
      <w:r w:rsidR="006964F3" w:rsidRPr="00573C41">
        <w:rPr>
          <w:rFonts w:ascii="Arial" w:eastAsia="Calibri" w:hAnsi="Arial" w:cs="Arial"/>
          <w:bCs/>
          <w:sz w:val="24"/>
          <w:szCs w:val="24"/>
          <w:lang w:eastAsia="en-US"/>
        </w:rPr>
        <w:t>s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objetivos específicos</w:t>
      </w:r>
      <w:r w:rsidR="006964F3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9D427A" w:rsidRPr="00573C41">
        <w:rPr>
          <w:rFonts w:ascii="Arial" w:eastAsia="Calibri" w:hAnsi="Arial" w:cs="Arial"/>
          <w:bCs/>
          <w:sz w:val="24"/>
          <w:szCs w:val="24"/>
          <w:lang w:eastAsia="en-US"/>
        </w:rPr>
        <w:t>que se pretenden alcanzar con la operación de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este </w:t>
      </w:r>
      <w:r w:rsidR="009D427A" w:rsidRPr="00573C41">
        <w:rPr>
          <w:rFonts w:ascii="Arial" w:eastAsia="Calibri" w:hAnsi="Arial" w:cs="Arial"/>
          <w:bCs/>
          <w:sz w:val="24"/>
          <w:szCs w:val="24"/>
          <w:lang w:eastAsia="en-US"/>
        </w:rPr>
        <w:t>“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Programa </w:t>
      </w:r>
      <w:r w:rsidR="00A161BE" w:rsidRPr="00573C41">
        <w:rPr>
          <w:rFonts w:ascii="Arial" w:eastAsia="Calibri" w:hAnsi="Arial" w:cs="Arial"/>
          <w:bCs/>
          <w:sz w:val="24"/>
          <w:szCs w:val="24"/>
          <w:lang w:eastAsia="en-US"/>
        </w:rPr>
        <w:t>Estatal</w:t>
      </w:r>
      <w:r w:rsidR="009D427A" w:rsidRPr="00573C41">
        <w:rPr>
          <w:rFonts w:ascii="Arial" w:eastAsia="Calibri" w:hAnsi="Arial" w:cs="Arial"/>
          <w:bCs/>
          <w:sz w:val="24"/>
          <w:szCs w:val="24"/>
          <w:lang w:eastAsia="en-US"/>
        </w:rPr>
        <w:t>”</w:t>
      </w:r>
      <w:r w:rsidR="00A161BE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9D427A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se encuentran contemplados en el Artículo 2, siendo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los siguientes:</w:t>
      </w:r>
    </w:p>
    <w:p w14:paraId="467808C7" w14:textId="77777777" w:rsidR="00504280" w:rsidRPr="00573C41" w:rsidRDefault="00504280" w:rsidP="00504280">
      <w:pPr>
        <w:spacing w:after="0" w:line="264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8EBBC95" w14:textId="0DF84A73" w:rsidR="00504280" w:rsidRPr="00573C41" w:rsidRDefault="00D43B35" w:rsidP="00CF107E">
      <w:pPr>
        <w:spacing w:after="0" w:line="264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sz w:val="24"/>
          <w:szCs w:val="24"/>
          <w:lang w:eastAsia="en-US"/>
        </w:rPr>
        <w:t>I.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504280" w:rsidRPr="00573C41">
        <w:rPr>
          <w:rFonts w:ascii="Arial" w:eastAsia="Calibri" w:hAnsi="Arial" w:cs="Arial"/>
          <w:bCs/>
          <w:sz w:val="24"/>
          <w:szCs w:val="24"/>
          <w:lang w:eastAsia="en-US"/>
        </w:rPr>
        <w:t>Establecer los procedimientos administrativos y tramites simplificados que otorguen las facilidades necesarias para acceder al Programa Estatal;</w:t>
      </w:r>
    </w:p>
    <w:p w14:paraId="602C0756" w14:textId="3FFD8B35" w:rsidR="00D43B35" w:rsidRPr="00573C41" w:rsidRDefault="00D43B35" w:rsidP="00CF107E">
      <w:pPr>
        <w:spacing w:after="0" w:line="264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sz w:val="24"/>
          <w:szCs w:val="24"/>
          <w:lang w:eastAsia="en-US"/>
        </w:rPr>
        <w:t>II.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Impulsar la participación de los Municipios y fomentar la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participación ciudadana, para la seguridad jurídica y documental en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el régimen de propiedad privada, en términos del Programa Estatal;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14:paraId="05CED5CB" w14:textId="3A4A661E" w:rsidR="00D43B35" w:rsidRPr="00573C41" w:rsidRDefault="00D43B35" w:rsidP="00CF107E">
      <w:pPr>
        <w:spacing w:after="0" w:line="264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sz w:val="24"/>
          <w:szCs w:val="24"/>
          <w:lang w:eastAsia="en-US"/>
        </w:rPr>
        <w:t>III.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Otorgar certeza y seguridad jurídica para los legítimos poseedores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a título de dueño, mediante la obtención de su título de propiedad;</w:t>
      </w:r>
    </w:p>
    <w:p w14:paraId="21BDEA99" w14:textId="40B8F7D8" w:rsidR="00D43B35" w:rsidRPr="00573C41" w:rsidRDefault="00D43B35" w:rsidP="00CF107E">
      <w:pPr>
        <w:spacing w:after="0" w:line="264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sz w:val="24"/>
          <w:szCs w:val="24"/>
          <w:lang w:eastAsia="en-US"/>
        </w:rPr>
        <w:t>IV.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Regularizar la tenencia de la tierra de predios rústicos, urbanos y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suburbanos, de personas físicas y jurídicas que hayan poseído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durante más de diez años, a título de dueño, de forma pública,</w:t>
      </w:r>
      <w:r w:rsidR="002A638C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bCs/>
          <w:sz w:val="24"/>
          <w:szCs w:val="24"/>
          <w:lang w:eastAsia="en-US"/>
        </w:rPr>
        <w:t>pacífica, continua y de buena fe; y</w:t>
      </w:r>
      <w:r w:rsidR="006964F3" w:rsidRPr="00573C4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14:paraId="0F1A2E11" w14:textId="67A7C388" w:rsidR="00F862CF" w:rsidRPr="00573C41" w:rsidRDefault="00504280" w:rsidP="00CF107E">
      <w:pPr>
        <w:spacing w:after="0" w:line="264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V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>. Regularizar la tenencia de la tierra de predios rústicos, urbanos y</w:t>
      </w:r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>suburbanos destinados a servicios públicos, cuya posesión a título de</w:t>
      </w:r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>dueño se encuentre en poder de un ente público Estatal y Municipal.</w:t>
      </w:r>
    </w:p>
    <w:p w14:paraId="3CB7FB11" w14:textId="79277CCF" w:rsidR="00504280" w:rsidRPr="00573C41" w:rsidRDefault="00504280" w:rsidP="006871A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AEC15E5" w14:textId="5188AD9B" w:rsidR="00504280" w:rsidRPr="00573C41" w:rsidRDefault="00504280" w:rsidP="00135B30">
      <w:pPr>
        <w:spacing w:after="0" w:line="264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sz w:val="24"/>
          <w:szCs w:val="24"/>
          <w:lang w:eastAsia="en-US"/>
        </w:rPr>
        <w:t>Que</w:t>
      </w:r>
      <w:r w:rsidR="00C93B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F107E" w:rsidRPr="00573C41">
        <w:rPr>
          <w:rFonts w:ascii="Arial" w:eastAsia="Calibri" w:hAnsi="Arial" w:cs="Arial"/>
          <w:sz w:val="24"/>
          <w:szCs w:val="24"/>
          <w:lang w:eastAsia="en-US"/>
        </w:rPr>
        <w:t xml:space="preserve">es de señalar que </w:t>
      </w:r>
      <w:r w:rsidR="00DA3C6A" w:rsidRPr="00573C41">
        <w:rPr>
          <w:rFonts w:ascii="Arial" w:eastAsia="Calibri" w:hAnsi="Arial" w:cs="Arial"/>
          <w:sz w:val="24"/>
          <w:szCs w:val="24"/>
          <w:lang w:eastAsia="en-US"/>
        </w:rPr>
        <w:t xml:space="preserve">el </w:t>
      </w:r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>“</w:t>
      </w:r>
      <w:r w:rsidR="00DA3C6A" w:rsidRPr="00573C41">
        <w:rPr>
          <w:rFonts w:ascii="Arial" w:eastAsia="Calibri" w:hAnsi="Arial" w:cs="Arial"/>
          <w:sz w:val="24"/>
          <w:szCs w:val="24"/>
          <w:lang w:eastAsia="en-US"/>
        </w:rPr>
        <w:t>Programa Estatal</w:t>
      </w:r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A8708A" w:rsidRPr="00573C4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DA3C6A" w:rsidRPr="00573C41">
        <w:rPr>
          <w:rFonts w:ascii="Arial" w:eastAsia="Calibri" w:hAnsi="Arial" w:cs="Arial"/>
          <w:sz w:val="24"/>
          <w:szCs w:val="24"/>
          <w:lang w:eastAsia="en-US"/>
        </w:rPr>
        <w:t>está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 xml:space="preserve"> dirigido a personas físicas y jurídicas que hayan poseído predios rústicos, urbanos o suburbanos a nombre propio, a título de dueño, en forma pública, pacífica, continua y de</w:t>
      </w:r>
      <w:r w:rsidR="00DA3C6A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>buena fe, por más de diez años; así como predios</w:t>
      </w:r>
      <w:r w:rsidR="00C93B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>en</w:t>
      </w:r>
      <w:r w:rsidR="00C93B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>posesión</w:t>
      </w:r>
      <w:r w:rsidR="00C93B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>de</w:t>
      </w:r>
      <w:r w:rsidR="00C93B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>instituciones, dependencias o entidades públicas estatales o</w:t>
      </w:r>
      <w:r w:rsidR="00C93B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42707" w:rsidRPr="00573C41">
        <w:rPr>
          <w:rFonts w:ascii="Arial" w:eastAsia="Calibri" w:hAnsi="Arial" w:cs="Arial"/>
          <w:sz w:val="24"/>
          <w:szCs w:val="24"/>
          <w:lang w:eastAsia="en-US"/>
        </w:rPr>
        <w:t>municipales destinados a servicios públicos</w:t>
      </w:r>
      <w:r w:rsidR="00DA3C6A" w:rsidRPr="00573C41">
        <w:rPr>
          <w:rFonts w:ascii="Arial" w:eastAsia="Calibri" w:hAnsi="Arial" w:cs="Arial"/>
          <w:sz w:val="24"/>
          <w:szCs w:val="24"/>
          <w:lang w:eastAsia="en-US"/>
        </w:rPr>
        <w:t xml:space="preserve">, con el propósito de </w:t>
      </w:r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>otorgarles</w:t>
      </w:r>
      <w:r w:rsidR="00DA3C6A" w:rsidRPr="00573C41">
        <w:rPr>
          <w:rFonts w:ascii="Arial" w:eastAsia="Calibri" w:hAnsi="Arial" w:cs="Arial"/>
          <w:sz w:val="24"/>
          <w:szCs w:val="24"/>
          <w:lang w:eastAsia="en-US"/>
        </w:rPr>
        <w:t xml:space="preserve"> certeza jurídica. </w:t>
      </w:r>
    </w:p>
    <w:p w14:paraId="06DC50D0" w14:textId="4D14EBBE" w:rsidR="00DA3C6A" w:rsidRPr="00573C41" w:rsidRDefault="00DA3C6A" w:rsidP="00942707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A4A9FF" w14:textId="34519E3E" w:rsidR="00DA3C6A" w:rsidRPr="00573C41" w:rsidRDefault="00DA3C6A" w:rsidP="00135B30">
      <w:pPr>
        <w:spacing w:after="0" w:line="264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573C41">
        <w:rPr>
          <w:rFonts w:ascii="Arial" w:eastAsia="Calibri" w:hAnsi="Arial" w:cs="Arial"/>
          <w:sz w:val="24"/>
          <w:szCs w:val="24"/>
          <w:lang w:eastAsia="en-US"/>
        </w:rPr>
        <w:t>Que</w:t>
      </w:r>
      <w:proofErr w:type="spellEnd"/>
      <w:proofErr w:type="gramEnd"/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03349" w:rsidRPr="00573C41">
        <w:rPr>
          <w:rFonts w:ascii="Arial" w:eastAsia="Calibri" w:hAnsi="Arial" w:cs="Arial"/>
          <w:sz w:val="24"/>
          <w:szCs w:val="24"/>
          <w:lang w:eastAsia="en-US"/>
        </w:rPr>
        <w:t xml:space="preserve">asimismo, </w:t>
      </w:r>
      <w:r w:rsidR="002A638C" w:rsidRPr="00573C41">
        <w:rPr>
          <w:rFonts w:ascii="Arial" w:eastAsia="Calibri" w:hAnsi="Arial" w:cs="Arial"/>
          <w:sz w:val="24"/>
          <w:szCs w:val="24"/>
          <w:lang w:eastAsia="en-US"/>
        </w:rPr>
        <w:t>es</w:t>
      </w:r>
      <w:r w:rsidR="00012E93" w:rsidRPr="00573C41">
        <w:rPr>
          <w:rFonts w:ascii="Arial" w:eastAsia="Calibri" w:hAnsi="Arial" w:cs="Arial"/>
          <w:sz w:val="24"/>
          <w:szCs w:val="24"/>
          <w:lang w:eastAsia="en-US"/>
        </w:rPr>
        <w:t xml:space="preserve"> de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 aplicación en los doscientos diecisiete Municipios, conforme a las treinta y dos regiones que conforma el Estado de Puebla</w:t>
      </w:r>
      <w:r w:rsidR="00777471" w:rsidRPr="00573C4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A8708A" w:rsidRPr="00573C41">
        <w:rPr>
          <w:rFonts w:ascii="Arial" w:eastAsia="Calibri" w:hAnsi="Arial" w:cs="Arial"/>
          <w:sz w:val="24"/>
          <w:szCs w:val="24"/>
          <w:lang w:eastAsia="en-US"/>
        </w:rPr>
        <w:t xml:space="preserve">además </w:t>
      </w:r>
      <w:r w:rsidR="00DF2E19" w:rsidRPr="00573C41">
        <w:rPr>
          <w:rFonts w:ascii="Arial" w:eastAsia="Calibri" w:hAnsi="Arial" w:cs="Arial"/>
          <w:sz w:val="24"/>
          <w:szCs w:val="24"/>
          <w:lang w:eastAsia="en-US"/>
        </w:rPr>
        <w:t>se observaran invariablemente los principios de máximo beneficio, prelación, legalidad, petición de parte, buena fe, apariencia, concentración, celeridad, imparcialidad, equidad y publicidad.</w:t>
      </w:r>
    </w:p>
    <w:p w14:paraId="139D4565" w14:textId="137BE9DE" w:rsidR="00C93B22" w:rsidRPr="00573C41" w:rsidRDefault="00C93B22" w:rsidP="00942707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1A52BE8" w14:textId="1FDD439F" w:rsidR="006964F3" w:rsidRPr="00573C41" w:rsidRDefault="00C93B22" w:rsidP="00135B30">
      <w:pPr>
        <w:pStyle w:val="Prrafodelista"/>
        <w:spacing w:after="0" w:line="264" w:lineRule="auto"/>
        <w:ind w:left="0"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Que </w:t>
      </w:r>
      <w:r w:rsidR="006964F3" w:rsidRPr="00573C41">
        <w:rPr>
          <w:rFonts w:ascii="Arial" w:eastAsia="Calibri" w:hAnsi="Arial" w:cs="Arial"/>
          <w:sz w:val="24"/>
          <w:szCs w:val="24"/>
          <w:lang w:eastAsia="en-US"/>
        </w:rPr>
        <w:t xml:space="preserve">por otra parte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>los Municipios</w:t>
      </w:r>
      <w:r w:rsidR="00AB182E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de </w:t>
      </w: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Acatlán, Ajalpan, </w:t>
      </w:r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Atempan, Atlixco, Coronango, Cuautlancingo, Chalchicomula de Sesma, </w:t>
      </w:r>
      <w:proofErr w:type="spellStart"/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Chiautzingo</w:t>
      </w:r>
      <w:proofErr w:type="spellEnd"/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, Chignahuapan, </w:t>
      </w:r>
      <w:proofErr w:type="spellStart"/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Honey</w:t>
      </w:r>
      <w:proofErr w:type="spellEnd"/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, Huaquechula, Huauchinango, </w:t>
      </w:r>
      <w:r w:rsidR="00375051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Huejotzingo, </w:t>
      </w:r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Izúcar de Matamoros, Palmar de Bravo, Puebla, San Andrés Cholula, San Martin Texmelucan, San </w:t>
      </w:r>
      <w:r w:rsidR="00777471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P</w:t>
      </w:r>
      <w:r w:rsidR="00E135C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edro Cholula, Tecamachalco, Tehuacán, Tepeaca, Teziutlán, Tlatlauquitepec, Xicotepec, Xiutetelco, Zacapoaxtla y Zacatlán</w:t>
      </w:r>
      <w:r w:rsidR="00AB182E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;</w:t>
      </w:r>
      <w:r w:rsidR="00AB182E" w:rsidRPr="00573C41">
        <w:rPr>
          <w:rFonts w:ascii="Arial" w:eastAsia="Calibri" w:hAnsi="Arial" w:cs="Arial"/>
          <w:sz w:val="24"/>
          <w:szCs w:val="24"/>
          <w:lang w:eastAsia="en-US"/>
        </w:rPr>
        <w:t xml:space="preserve"> se consideran Municipios </w:t>
      </w:r>
      <w:r w:rsidR="00BF5F22" w:rsidRPr="00573C41">
        <w:rPr>
          <w:rFonts w:ascii="Arial" w:eastAsia="Calibri" w:hAnsi="Arial" w:cs="Arial"/>
          <w:sz w:val="24"/>
          <w:szCs w:val="24"/>
          <w:lang w:eastAsia="en-US"/>
        </w:rPr>
        <w:t xml:space="preserve">Descentralizados </w:t>
      </w:r>
      <w:r w:rsidR="00AB182E" w:rsidRPr="00573C41">
        <w:rPr>
          <w:rFonts w:ascii="Arial" w:eastAsia="Calibri" w:hAnsi="Arial" w:cs="Arial"/>
          <w:sz w:val="24"/>
          <w:szCs w:val="24"/>
          <w:lang w:eastAsia="en-US"/>
        </w:rPr>
        <w:t xml:space="preserve">del Estado de Puebla, por tener </w:t>
      </w:r>
      <w:r w:rsidR="00012E93" w:rsidRPr="00573C41">
        <w:rPr>
          <w:rFonts w:ascii="Arial" w:eastAsia="Calibri" w:hAnsi="Arial" w:cs="Arial"/>
          <w:sz w:val="24"/>
          <w:szCs w:val="24"/>
          <w:lang w:eastAsia="en-US"/>
        </w:rPr>
        <w:t xml:space="preserve">una </w:t>
      </w:r>
      <w:r w:rsidR="00AB182E" w:rsidRPr="00573C41">
        <w:rPr>
          <w:rFonts w:ascii="Arial" w:eastAsia="Calibri" w:hAnsi="Arial" w:cs="Arial"/>
          <w:sz w:val="24"/>
          <w:szCs w:val="24"/>
          <w:lang w:eastAsia="en-US"/>
        </w:rPr>
        <w:t>Dirección Catastral propia</w:t>
      </w:r>
      <w:r w:rsidR="006964F3" w:rsidRPr="00573C41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A8708A" w:rsidRPr="00573C41">
        <w:rPr>
          <w:rFonts w:ascii="Arial" w:eastAsia="Calibri" w:hAnsi="Arial" w:cs="Arial"/>
          <w:sz w:val="24"/>
          <w:szCs w:val="24"/>
          <w:lang w:eastAsia="en-US"/>
        </w:rPr>
        <w:t>contando</w:t>
      </w:r>
      <w:r w:rsidR="006964F3" w:rsidRPr="00573C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8708A" w:rsidRPr="00573C41">
        <w:rPr>
          <w:rFonts w:ascii="Arial" w:eastAsia="Calibri" w:hAnsi="Arial" w:cs="Arial"/>
          <w:sz w:val="24"/>
          <w:szCs w:val="24"/>
          <w:lang w:eastAsia="en-US"/>
        </w:rPr>
        <w:t xml:space="preserve">con </w:t>
      </w:r>
      <w:r w:rsidR="006964F3" w:rsidRPr="00573C41">
        <w:rPr>
          <w:rFonts w:ascii="Arial" w:eastAsia="Calibri" w:hAnsi="Arial" w:cs="Arial"/>
          <w:sz w:val="24"/>
          <w:szCs w:val="24"/>
          <w:lang w:eastAsia="en-US"/>
        </w:rPr>
        <w:t xml:space="preserve">los </w:t>
      </w:r>
      <w:r w:rsidR="00AB182E" w:rsidRPr="00573C41">
        <w:rPr>
          <w:rFonts w:ascii="Arial" w:eastAsia="Calibri" w:hAnsi="Arial" w:cs="Arial"/>
          <w:sz w:val="24"/>
          <w:szCs w:val="24"/>
          <w:lang w:eastAsia="en-US"/>
        </w:rPr>
        <w:t>mecanismos y la estructura idónea para realizar los levantamientos topográficos y tramites catastrales</w:t>
      </w:r>
      <w:r w:rsidR="00CE4FA7" w:rsidRPr="00573C41">
        <w:rPr>
          <w:rFonts w:ascii="Arial" w:eastAsia="Calibri" w:hAnsi="Arial" w:cs="Arial"/>
          <w:sz w:val="24"/>
          <w:szCs w:val="24"/>
          <w:lang w:eastAsia="en-US"/>
        </w:rPr>
        <w:t>, entre ellos</w:t>
      </w:r>
      <w:r w:rsidR="006964F3" w:rsidRPr="00573C41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14:paraId="796E4BE7" w14:textId="77777777" w:rsidR="006964F3" w:rsidRPr="00573C41" w:rsidRDefault="006964F3" w:rsidP="006964F3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256045B" w14:textId="2EAFD879" w:rsidR="00316A21" w:rsidRPr="00573C41" w:rsidRDefault="00316A21" w:rsidP="00316A21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M</w:t>
      </w:r>
      <w:r w:rsidR="006964F3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anifiesto catastral</w:t>
      </w: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;</w:t>
      </w:r>
    </w:p>
    <w:p w14:paraId="538E466B" w14:textId="77777777" w:rsidR="00316A21" w:rsidRPr="00573C41" w:rsidRDefault="00316A21" w:rsidP="006964F3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</w:pPr>
    </w:p>
    <w:p w14:paraId="6667C5B1" w14:textId="57176E1E" w:rsidR="00316A21" w:rsidRPr="00573C41" w:rsidRDefault="00316A21" w:rsidP="00316A21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A</w:t>
      </w:r>
      <w:r w:rsidR="006964F3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valuó catastral</w:t>
      </w: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; </w:t>
      </w:r>
      <w:r w:rsidR="006964F3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y </w:t>
      </w:r>
    </w:p>
    <w:p w14:paraId="53A3F48C" w14:textId="77777777" w:rsidR="00316A21" w:rsidRPr="00573C41" w:rsidRDefault="00316A21" w:rsidP="006964F3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</w:pPr>
    </w:p>
    <w:p w14:paraId="12373FCC" w14:textId="248C0605" w:rsidR="006964F3" w:rsidRPr="00573C41" w:rsidRDefault="00316A21" w:rsidP="00316A21">
      <w:pPr>
        <w:pStyle w:val="Prrafodelista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R</w:t>
      </w:r>
      <w:r w:rsidR="006964F3"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egistro catastral</w:t>
      </w:r>
      <w:r w:rsidRPr="00573C41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.</w:t>
      </w:r>
    </w:p>
    <w:p w14:paraId="2ACFC111" w14:textId="7435D545" w:rsidR="00316A21" w:rsidRPr="00573C41" w:rsidRDefault="00316A21" w:rsidP="00316A21">
      <w:p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043BF50" w14:textId="520F34A8" w:rsidR="00C037D1" w:rsidRPr="00573C41" w:rsidRDefault="00C037D1" w:rsidP="00316A21">
      <w:pPr>
        <w:spacing w:after="0" w:line="264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C63EDA5" w14:textId="10A099E7" w:rsidR="00C037D1" w:rsidRPr="00573C41" w:rsidRDefault="00C037D1" w:rsidP="00316A2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7C3CE6EA" w14:textId="4773A175" w:rsidR="00C037D1" w:rsidRPr="00573C41" w:rsidRDefault="00C037D1" w:rsidP="00316A2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A05E87C" w14:textId="77777777" w:rsidR="00C037D1" w:rsidRPr="00573C41" w:rsidRDefault="00C037D1" w:rsidP="00316A21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B179CCE" w14:textId="670124FF" w:rsidR="00DC2DB8" w:rsidRPr="00573C41" w:rsidRDefault="005C041E" w:rsidP="00135B30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C41">
        <w:rPr>
          <w:rFonts w:ascii="Arial" w:hAnsi="Arial" w:cs="Arial"/>
          <w:sz w:val="24"/>
          <w:szCs w:val="24"/>
        </w:rPr>
        <w:lastRenderedPageBreak/>
        <w:t xml:space="preserve">Que </w:t>
      </w:r>
      <w:r w:rsidR="00AB120E" w:rsidRPr="00573C41">
        <w:rPr>
          <w:rFonts w:ascii="Arial" w:hAnsi="Arial" w:cs="Arial"/>
          <w:sz w:val="24"/>
          <w:szCs w:val="24"/>
        </w:rPr>
        <w:t xml:space="preserve">en el </w:t>
      </w:r>
      <w:r w:rsidR="00CE4FA7" w:rsidRPr="00573C41">
        <w:rPr>
          <w:rFonts w:ascii="Arial" w:hAnsi="Arial" w:cs="Arial"/>
          <w:sz w:val="24"/>
          <w:szCs w:val="24"/>
        </w:rPr>
        <w:t>“</w:t>
      </w:r>
      <w:r w:rsidR="00C037D1" w:rsidRPr="00573C41">
        <w:rPr>
          <w:rFonts w:ascii="Arial" w:hAnsi="Arial" w:cs="Arial"/>
          <w:sz w:val="24"/>
          <w:szCs w:val="24"/>
        </w:rPr>
        <w:t>Programa Estatal</w:t>
      </w:r>
      <w:r w:rsidR="00CE4FA7" w:rsidRPr="00573C41">
        <w:rPr>
          <w:rFonts w:ascii="Arial" w:hAnsi="Arial" w:cs="Arial"/>
          <w:sz w:val="24"/>
          <w:szCs w:val="24"/>
        </w:rPr>
        <w:t>”</w:t>
      </w:r>
      <w:r w:rsidR="00C037D1" w:rsidRPr="00573C41">
        <w:rPr>
          <w:rFonts w:ascii="Arial" w:hAnsi="Arial" w:cs="Arial"/>
          <w:sz w:val="24"/>
          <w:szCs w:val="24"/>
        </w:rPr>
        <w:t xml:space="preserve"> </w:t>
      </w:r>
      <w:r w:rsidR="00AB120E" w:rsidRPr="00573C41">
        <w:rPr>
          <w:rFonts w:ascii="Arial" w:hAnsi="Arial" w:cs="Arial"/>
          <w:sz w:val="24"/>
          <w:szCs w:val="24"/>
        </w:rPr>
        <w:t xml:space="preserve">se </w:t>
      </w:r>
      <w:r w:rsidR="00C037D1" w:rsidRPr="00573C41">
        <w:rPr>
          <w:rFonts w:ascii="Arial" w:hAnsi="Arial" w:cs="Arial"/>
          <w:sz w:val="24"/>
          <w:szCs w:val="24"/>
        </w:rPr>
        <w:t>establece</w:t>
      </w:r>
      <w:r w:rsidR="00AC2E7B" w:rsidRPr="00573C41">
        <w:rPr>
          <w:rFonts w:ascii="Arial" w:hAnsi="Arial" w:cs="Arial"/>
          <w:sz w:val="24"/>
          <w:szCs w:val="24"/>
        </w:rPr>
        <w:t xml:space="preserve"> que</w:t>
      </w:r>
      <w:r w:rsidR="00AB120E" w:rsidRPr="00573C41">
        <w:rPr>
          <w:rFonts w:ascii="Arial" w:hAnsi="Arial" w:cs="Arial"/>
          <w:sz w:val="24"/>
          <w:szCs w:val="24"/>
        </w:rPr>
        <w:t>,</w:t>
      </w:r>
      <w:r w:rsidR="00AC2E7B" w:rsidRPr="00573C41">
        <w:rPr>
          <w:rFonts w:ascii="Arial" w:hAnsi="Arial" w:cs="Arial"/>
          <w:sz w:val="24"/>
          <w:szCs w:val="24"/>
        </w:rPr>
        <w:t xml:space="preserve"> </w:t>
      </w:r>
      <w:r w:rsidR="00AB120E" w:rsidRPr="00573C41">
        <w:rPr>
          <w:rFonts w:ascii="Arial" w:hAnsi="Arial" w:cs="Arial"/>
          <w:sz w:val="24"/>
          <w:szCs w:val="24"/>
        </w:rPr>
        <w:t xml:space="preserve">Tratándose de los Municipios que cuenten con oficinas de Catastro </w:t>
      </w:r>
      <w:r w:rsidR="00D40DF4" w:rsidRPr="00573C41">
        <w:rPr>
          <w:rFonts w:ascii="Arial" w:hAnsi="Arial" w:cs="Arial"/>
          <w:sz w:val="24"/>
          <w:szCs w:val="24"/>
        </w:rPr>
        <w:t>Descentralizadas</w:t>
      </w:r>
      <w:r w:rsidR="00AB120E" w:rsidRPr="00573C41">
        <w:rPr>
          <w:rFonts w:ascii="Arial" w:hAnsi="Arial" w:cs="Arial"/>
          <w:sz w:val="24"/>
          <w:szCs w:val="24"/>
        </w:rPr>
        <w:t xml:space="preserve">, adoptarán las </w:t>
      </w:r>
      <w:r w:rsidR="00F830CA" w:rsidRPr="00573C41">
        <w:rPr>
          <w:rFonts w:ascii="Arial" w:hAnsi="Arial" w:cs="Arial"/>
          <w:sz w:val="24"/>
          <w:szCs w:val="24"/>
        </w:rPr>
        <w:t>medidas necesarias</w:t>
      </w:r>
      <w:r w:rsidR="00AB120E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037D1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para </w:t>
      </w:r>
      <w:proofErr w:type="gramStart"/>
      <w:r w:rsidR="00C037D1" w:rsidRPr="00573C41">
        <w:rPr>
          <w:rFonts w:ascii="Arial" w:hAnsi="Arial" w:cs="Arial"/>
          <w:b/>
          <w:bCs/>
          <w:i/>
          <w:iCs/>
          <w:sz w:val="24"/>
          <w:szCs w:val="24"/>
        </w:rPr>
        <w:t>que</w:t>
      </w:r>
      <w:proofErr w:type="gramEnd"/>
      <w:r w:rsidR="00C037D1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en un término no mayor a diez días hábiles, emitan el levantamiento topográfico, así como, registro, avalúo y manifiesto catastral en sus Municipios</w:t>
      </w:r>
      <w:r w:rsidR="00BF5F22" w:rsidRPr="00573C41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AB120E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B120E" w:rsidRPr="00573C41">
        <w:rPr>
          <w:rFonts w:ascii="Arial" w:hAnsi="Arial" w:cs="Arial"/>
          <w:sz w:val="24"/>
          <w:szCs w:val="24"/>
        </w:rPr>
        <w:t>Artículo 7.</w:t>
      </w:r>
    </w:p>
    <w:p w14:paraId="2994E830" w14:textId="77777777" w:rsidR="00AB120E" w:rsidRPr="00573C41" w:rsidRDefault="00AB120E" w:rsidP="00135B30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F45F32" w14:textId="6959F315" w:rsidR="00DC2DB8" w:rsidRPr="00573C41" w:rsidRDefault="00786D06" w:rsidP="00135B30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C41">
        <w:rPr>
          <w:rFonts w:ascii="Arial" w:hAnsi="Arial" w:cs="Arial"/>
          <w:sz w:val="24"/>
          <w:szCs w:val="24"/>
        </w:rPr>
        <w:t xml:space="preserve">Que </w:t>
      </w:r>
      <w:r w:rsidR="00AC2E7B" w:rsidRPr="00573C41">
        <w:rPr>
          <w:rFonts w:ascii="Arial" w:hAnsi="Arial" w:cs="Arial"/>
          <w:sz w:val="24"/>
          <w:szCs w:val="24"/>
        </w:rPr>
        <w:t xml:space="preserve">por tal razón </w:t>
      </w:r>
      <w:r w:rsidRPr="00573C41">
        <w:rPr>
          <w:rFonts w:ascii="Arial" w:hAnsi="Arial" w:cs="Arial"/>
          <w:sz w:val="24"/>
          <w:szCs w:val="24"/>
        </w:rPr>
        <w:t>el levantamiento topográfico, debe realizarse conforme a lo previsto</w:t>
      </w:r>
      <w:r w:rsidR="00AC2E7B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 xml:space="preserve">en la </w:t>
      </w:r>
      <w:r w:rsidR="002151C3" w:rsidRPr="00573C41">
        <w:rPr>
          <w:rFonts w:ascii="Arial" w:hAnsi="Arial" w:cs="Arial"/>
          <w:sz w:val="24"/>
          <w:szCs w:val="24"/>
        </w:rPr>
        <w:t xml:space="preserve">Ley para la Regularización de Predios Rústicos Urbanos y Suburbanos en el Régimen de Propiedad Privada del Estado de Puebla, </w:t>
      </w:r>
      <w:r w:rsidR="00AB120E" w:rsidRPr="00573C41">
        <w:rPr>
          <w:rFonts w:ascii="Arial" w:hAnsi="Arial" w:cs="Arial"/>
          <w:sz w:val="24"/>
          <w:szCs w:val="24"/>
        </w:rPr>
        <w:t>“</w:t>
      </w:r>
      <w:r w:rsidRPr="00573C41">
        <w:rPr>
          <w:rFonts w:ascii="Arial" w:hAnsi="Arial" w:cs="Arial"/>
          <w:sz w:val="24"/>
          <w:szCs w:val="24"/>
        </w:rPr>
        <w:t>Ley</w:t>
      </w:r>
      <w:r w:rsidR="00AB120E" w:rsidRPr="00573C41">
        <w:rPr>
          <w:rFonts w:ascii="Arial" w:hAnsi="Arial" w:cs="Arial"/>
          <w:sz w:val="24"/>
          <w:szCs w:val="24"/>
        </w:rPr>
        <w:t>”</w:t>
      </w:r>
      <w:r w:rsidRPr="00573C41">
        <w:rPr>
          <w:rFonts w:ascii="Arial" w:hAnsi="Arial" w:cs="Arial"/>
          <w:sz w:val="24"/>
          <w:szCs w:val="24"/>
        </w:rPr>
        <w:t xml:space="preserve"> y el</w:t>
      </w:r>
      <w:r w:rsidR="00AC2E7B" w:rsidRPr="00573C41">
        <w:rPr>
          <w:rFonts w:ascii="Arial" w:hAnsi="Arial" w:cs="Arial"/>
          <w:sz w:val="24"/>
          <w:szCs w:val="24"/>
        </w:rPr>
        <w:t xml:space="preserve"> </w:t>
      </w:r>
      <w:r w:rsidR="00AB120E" w:rsidRPr="00573C41">
        <w:rPr>
          <w:rFonts w:ascii="Arial" w:hAnsi="Arial" w:cs="Arial"/>
          <w:sz w:val="24"/>
          <w:szCs w:val="24"/>
        </w:rPr>
        <w:t>“</w:t>
      </w:r>
      <w:r w:rsidRPr="00573C41">
        <w:rPr>
          <w:rFonts w:ascii="Arial" w:hAnsi="Arial" w:cs="Arial"/>
          <w:sz w:val="24"/>
          <w:szCs w:val="24"/>
        </w:rPr>
        <w:t>Programa Estatal</w:t>
      </w:r>
      <w:r w:rsidR="00AB120E" w:rsidRPr="00573C41">
        <w:rPr>
          <w:rFonts w:ascii="Arial" w:hAnsi="Arial" w:cs="Arial"/>
          <w:sz w:val="24"/>
          <w:szCs w:val="24"/>
        </w:rPr>
        <w:t>”</w:t>
      </w:r>
      <w:r w:rsidRPr="00573C41">
        <w:rPr>
          <w:rFonts w:ascii="Arial" w:hAnsi="Arial" w:cs="Arial"/>
          <w:sz w:val="24"/>
          <w:szCs w:val="24"/>
        </w:rPr>
        <w:t xml:space="preserve">, </w:t>
      </w:r>
      <w:r w:rsidR="002151C3" w:rsidRPr="00573C41">
        <w:rPr>
          <w:rFonts w:ascii="Arial" w:hAnsi="Arial" w:cs="Arial"/>
          <w:sz w:val="24"/>
          <w:szCs w:val="24"/>
        </w:rPr>
        <w:t xml:space="preserve">y </w:t>
      </w:r>
      <w:r w:rsidRPr="00573C41">
        <w:rPr>
          <w:rFonts w:ascii="Arial" w:hAnsi="Arial" w:cs="Arial"/>
          <w:sz w:val="24"/>
          <w:szCs w:val="24"/>
        </w:rPr>
        <w:t>su cumplimiento y ejecución</w:t>
      </w:r>
      <w:r w:rsidR="002151C3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estará a cargo de las siguientes autoridades competentes:</w:t>
      </w:r>
    </w:p>
    <w:p w14:paraId="0431DC22" w14:textId="07D6B2F6" w:rsidR="00786D06" w:rsidRPr="00573C41" w:rsidRDefault="00786D06" w:rsidP="00135B30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737146" w14:textId="3F110145" w:rsidR="008461B6" w:rsidRPr="00573C41" w:rsidRDefault="008461B6" w:rsidP="008461B6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a) Ayuntamientos que suscriban Convenio de Coordinación y</w:t>
      </w:r>
      <w:r w:rsidR="002151C3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Colaboración con la Secretaría de Gobernación;</w:t>
      </w:r>
    </w:p>
    <w:p w14:paraId="733A87D4" w14:textId="73CD7A98" w:rsidR="008461B6" w:rsidRPr="00573C41" w:rsidRDefault="008461B6" w:rsidP="008461B6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b)Autoridad</w:t>
      </w:r>
      <w:proofErr w:type="gramEnd"/>
      <w:r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Catastral; o</w:t>
      </w:r>
    </w:p>
    <w:p w14:paraId="2C422716" w14:textId="3F4B6E5A" w:rsidR="008461B6" w:rsidRPr="00573C41" w:rsidRDefault="008461B6" w:rsidP="008461B6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c) Dirección General.</w:t>
      </w:r>
    </w:p>
    <w:p w14:paraId="7FB7BB7F" w14:textId="46A0EF9F" w:rsidR="008461B6" w:rsidRPr="00573C41" w:rsidRDefault="008461B6" w:rsidP="008461B6">
      <w:pPr>
        <w:spacing w:after="0" w:line="264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024C17E" w14:textId="50DB403A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C41">
        <w:rPr>
          <w:rFonts w:ascii="Arial" w:hAnsi="Arial" w:cs="Arial"/>
          <w:sz w:val="24"/>
          <w:szCs w:val="24"/>
        </w:rPr>
        <w:t>Que tratándose de los supuestos señalados en los incisos b) y c) que</w:t>
      </w:r>
      <w:r w:rsidR="00BF5F22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anteceden, deberá establecerse en los Convenios de Coordinación y</w:t>
      </w:r>
      <w:r w:rsidR="00BF5F22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Colaboración correspondientes</w:t>
      </w:r>
      <w:r w:rsidR="00BF5F22" w:rsidRPr="00573C41">
        <w:rPr>
          <w:rFonts w:ascii="Arial" w:hAnsi="Arial" w:cs="Arial"/>
          <w:sz w:val="24"/>
          <w:szCs w:val="24"/>
        </w:rPr>
        <w:t xml:space="preserve">, </w:t>
      </w:r>
      <w:r w:rsidR="00E03349" w:rsidRPr="00573C41">
        <w:rPr>
          <w:rFonts w:ascii="Arial" w:hAnsi="Arial" w:cs="Arial"/>
          <w:sz w:val="24"/>
          <w:szCs w:val="24"/>
        </w:rPr>
        <w:t xml:space="preserve">Artículo </w:t>
      </w:r>
      <w:r w:rsidR="00BF5F22" w:rsidRPr="00573C41">
        <w:rPr>
          <w:rFonts w:ascii="Arial" w:hAnsi="Arial" w:cs="Arial"/>
          <w:sz w:val="24"/>
          <w:szCs w:val="24"/>
        </w:rPr>
        <w:t>16 de “El Programa”</w:t>
      </w:r>
      <w:r w:rsidRPr="00573C41">
        <w:rPr>
          <w:rFonts w:ascii="Arial" w:hAnsi="Arial" w:cs="Arial"/>
          <w:sz w:val="24"/>
          <w:szCs w:val="24"/>
        </w:rPr>
        <w:t>.</w:t>
      </w:r>
    </w:p>
    <w:p w14:paraId="06EBB18F" w14:textId="77777777" w:rsidR="001E1D99" w:rsidRPr="00573C41" w:rsidRDefault="001E1D99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F2CA75" w14:textId="1A6F302E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C41">
        <w:rPr>
          <w:rFonts w:ascii="Arial" w:hAnsi="Arial" w:cs="Arial"/>
          <w:sz w:val="24"/>
          <w:szCs w:val="24"/>
        </w:rPr>
        <w:t>Que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 xml:space="preserve">de igual manera señala el </w:t>
      </w:r>
      <w:r w:rsidR="00BF5F22" w:rsidRPr="00573C41">
        <w:rPr>
          <w:rFonts w:ascii="Arial" w:hAnsi="Arial" w:cs="Arial"/>
          <w:sz w:val="24"/>
          <w:szCs w:val="24"/>
        </w:rPr>
        <w:t>miso precepto en su</w:t>
      </w:r>
      <w:r w:rsidR="00A8708A" w:rsidRPr="00573C41">
        <w:rPr>
          <w:rFonts w:ascii="Arial" w:hAnsi="Arial" w:cs="Arial"/>
          <w:sz w:val="24"/>
          <w:szCs w:val="24"/>
        </w:rPr>
        <w:t xml:space="preserve"> </w:t>
      </w:r>
      <w:r w:rsidR="001E1D99" w:rsidRPr="00573C41">
        <w:rPr>
          <w:rFonts w:ascii="Arial" w:hAnsi="Arial" w:cs="Arial"/>
          <w:sz w:val="24"/>
          <w:szCs w:val="24"/>
        </w:rPr>
        <w:t xml:space="preserve">fracción </w:t>
      </w:r>
      <w:r w:rsidRPr="00573C41">
        <w:rPr>
          <w:rFonts w:ascii="Arial" w:hAnsi="Arial" w:cs="Arial"/>
          <w:sz w:val="24"/>
          <w:szCs w:val="24"/>
        </w:rPr>
        <w:t>III</w:t>
      </w:r>
      <w:r w:rsidR="001E1D99" w:rsidRPr="00573C41">
        <w:rPr>
          <w:rFonts w:ascii="Arial" w:hAnsi="Arial" w:cs="Arial"/>
          <w:sz w:val="24"/>
          <w:szCs w:val="24"/>
        </w:rPr>
        <w:t>, que l</w:t>
      </w:r>
      <w:r w:rsidRPr="00573C41">
        <w:rPr>
          <w:rFonts w:ascii="Arial" w:hAnsi="Arial" w:cs="Arial"/>
          <w:sz w:val="24"/>
          <w:szCs w:val="24"/>
        </w:rPr>
        <w:t xml:space="preserve">os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levantamientos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topográficos,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deben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reunir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los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siguientes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requisitos:</w:t>
      </w:r>
    </w:p>
    <w:p w14:paraId="7CCE8885" w14:textId="77777777" w:rsidR="001E1D99" w:rsidRPr="00573C41" w:rsidRDefault="001E1D99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190E8B" w14:textId="77777777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a) Número Único de Control;</w:t>
      </w:r>
    </w:p>
    <w:p w14:paraId="2B8B6245" w14:textId="01176FC5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b) Cuadro de construcción que contenga la información básica del</w:t>
      </w:r>
      <w:r w:rsidR="00BF5F22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predio y coordenadas UTM;</w:t>
      </w:r>
    </w:p>
    <w:p w14:paraId="3AAA4F69" w14:textId="77777777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c) Croquis de ubicación;</w:t>
      </w:r>
    </w:p>
    <w:p w14:paraId="1ACA018D" w14:textId="2C08B77D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d) Evidencia fotográfica; y</w:t>
      </w:r>
    </w:p>
    <w:p w14:paraId="324F9681" w14:textId="77777777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e)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El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alineamiento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número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73C41">
        <w:rPr>
          <w:rFonts w:ascii="Arial" w:hAnsi="Arial" w:cs="Arial"/>
          <w:b/>
          <w:bCs/>
          <w:i/>
          <w:iCs/>
          <w:sz w:val="24"/>
          <w:szCs w:val="24"/>
        </w:rPr>
        <w:t>oficial.</w:t>
      </w:r>
      <w:r w:rsidR="001E1D99" w:rsidRPr="00573C4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5CDEAC1" w14:textId="77777777" w:rsidR="001E1D99" w:rsidRPr="00573C41" w:rsidRDefault="001E1D99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5287D0" w14:textId="4BE252AA" w:rsidR="001E1D99" w:rsidRPr="00573C41" w:rsidRDefault="008461B6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C41">
        <w:rPr>
          <w:rFonts w:ascii="Arial" w:hAnsi="Arial" w:cs="Arial"/>
          <w:sz w:val="24"/>
          <w:szCs w:val="24"/>
        </w:rPr>
        <w:t>Adicionalmente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de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los requisitos establecidos en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la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="00BF5F22" w:rsidRPr="00573C41">
        <w:rPr>
          <w:rFonts w:ascii="Arial" w:hAnsi="Arial" w:cs="Arial"/>
          <w:sz w:val="24"/>
          <w:szCs w:val="24"/>
        </w:rPr>
        <w:t>“</w:t>
      </w:r>
      <w:r w:rsidRPr="00573C41">
        <w:rPr>
          <w:rFonts w:ascii="Arial" w:hAnsi="Arial" w:cs="Arial"/>
          <w:sz w:val="24"/>
          <w:szCs w:val="24"/>
        </w:rPr>
        <w:t>Ley</w:t>
      </w:r>
      <w:r w:rsidR="00BF5F22" w:rsidRPr="00573C41">
        <w:rPr>
          <w:rFonts w:ascii="Arial" w:hAnsi="Arial" w:cs="Arial"/>
          <w:sz w:val="24"/>
          <w:szCs w:val="24"/>
        </w:rPr>
        <w:t>”</w:t>
      </w:r>
      <w:r w:rsidRPr="00573C41">
        <w:rPr>
          <w:rFonts w:ascii="Arial" w:hAnsi="Arial" w:cs="Arial"/>
          <w:sz w:val="24"/>
          <w:szCs w:val="24"/>
        </w:rPr>
        <w:t>,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se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realizará</w:t>
      </w:r>
      <w:r w:rsidR="001E1D99" w:rsidRPr="00573C41">
        <w:rPr>
          <w:rFonts w:ascii="Arial" w:hAnsi="Arial" w:cs="Arial"/>
          <w:sz w:val="24"/>
          <w:szCs w:val="24"/>
        </w:rPr>
        <w:t xml:space="preserve"> </w:t>
      </w:r>
      <w:r w:rsidRPr="00573C41">
        <w:rPr>
          <w:rFonts w:ascii="Arial" w:hAnsi="Arial" w:cs="Arial"/>
          <w:sz w:val="24"/>
          <w:szCs w:val="24"/>
        </w:rPr>
        <w:t>un dictamen que dé soporte al levantamiento topográfico.</w:t>
      </w:r>
    </w:p>
    <w:p w14:paraId="365F9D3D" w14:textId="77777777" w:rsidR="00BF5F22" w:rsidRPr="00573C41" w:rsidRDefault="00BF5F22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8FC821E" w14:textId="619AADA7" w:rsidR="00D43B35" w:rsidRPr="00573C41" w:rsidRDefault="00BA2E05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73C41">
        <w:rPr>
          <w:rFonts w:ascii="Arial" w:hAnsi="Arial" w:cs="Arial"/>
          <w:sz w:val="24"/>
          <w:szCs w:val="24"/>
        </w:rPr>
        <w:t>Que</w:t>
      </w:r>
      <w:proofErr w:type="gramEnd"/>
      <w:r w:rsidRPr="00573C41">
        <w:rPr>
          <w:rFonts w:ascii="Arial" w:hAnsi="Arial" w:cs="Arial"/>
          <w:sz w:val="24"/>
          <w:szCs w:val="24"/>
        </w:rPr>
        <w:t xml:space="preserve"> </w:t>
      </w:r>
      <w:r w:rsidR="00FF0BC6" w:rsidRPr="00573C41">
        <w:rPr>
          <w:rFonts w:ascii="Arial" w:hAnsi="Arial" w:cs="Arial"/>
          <w:sz w:val="24"/>
          <w:szCs w:val="24"/>
        </w:rPr>
        <w:t xml:space="preserve">por tal razón, </w:t>
      </w:r>
      <w:r w:rsidR="00CF107E" w:rsidRPr="00573C41">
        <w:rPr>
          <w:rFonts w:ascii="Arial" w:hAnsi="Arial" w:cs="Arial"/>
          <w:sz w:val="24"/>
          <w:szCs w:val="24"/>
        </w:rPr>
        <w:t xml:space="preserve">se exhorta a </w:t>
      </w:r>
      <w:r w:rsidRPr="00573C41">
        <w:rPr>
          <w:rFonts w:ascii="Arial" w:hAnsi="Arial" w:cs="Arial"/>
          <w:sz w:val="24"/>
          <w:szCs w:val="24"/>
        </w:rPr>
        <w:t xml:space="preserve">los </w:t>
      </w:r>
      <w:r w:rsidR="007F580B" w:rsidRPr="00573C41">
        <w:rPr>
          <w:rFonts w:ascii="Arial" w:hAnsi="Arial" w:cs="Arial"/>
          <w:sz w:val="24"/>
          <w:szCs w:val="24"/>
        </w:rPr>
        <w:t>Ayuntamientos</w:t>
      </w:r>
      <w:r w:rsidRPr="00573C41">
        <w:rPr>
          <w:rFonts w:ascii="Arial" w:hAnsi="Arial" w:cs="Arial"/>
          <w:sz w:val="24"/>
          <w:szCs w:val="24"/>
        </w:rPr>
        <w:t xml:space="preserve"> </w:t>
      </w:r>
      <w:r w:rsidR="002172E5" w:rsidRPr="00DD79B7">
        <w:rPr>
          <w:rFonts w:ascii="Arial" w:hAnsi="Arial" w:cs="Arial"/>
          <w:sz w:val="24"/>
          <w:szCs w:val="24"/>
        </w:rPr>
        <w:t>que cuenten con oficinas de Catastro Descentralizadas</w:t>
      </w:r>
      <w:r w:rsidR="002172E5" w:rsidRPr="00DD79B7">
        <w:rPr>
          <w:rFonts w:ascii="Arial" w:eastAsia="Calibri" w:hAnsi="Arial" w:cs="Arial"/>
          <w:sz w:val="24"/>
          <w:szCs w:val="24"/>
          <w:lang w:eastAsia="en-US"/>
        </w:rPr>
        <w:t>,</w:t>
      </w:r>
      <w:r w:rsidR="002172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F107E" w:rsidRPr="00573C41">
        <w:rPr>
          <w:rFonts w:ascii="Arial" w:hAnsi="Arial" w:cs="Arial"/>
          <w:sz w:val="24"/>
          <w:szCs w:val="24"/>
        </w:rPr>
        <w:t>a respetar los términos establecidos en el Programa de Regularización de Predios Rústicos, Urbanos y Suburbanos en el Régimen de Propiedad Privada del Estado de Puebla, para la emisión de los levantamientos topográficos y documentos catastrales.</w:t>
      </w:r>
    </w:p>
    <w:p w14:paraId="49ED247D" w14:textId="77777777" w:rsidR="001E1D99" w:rsidRPr="00573C41" w:rsidRDefault="001E1D99" w:rsidP="001E1D9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260071E" w14:textId="5421C788" w:rsidR="006871A8" w:rsidRPr="00573C41" w:rsidRDefault="006871A8" w:rsidP="00135B30">
      <w:pPr>
        <w:spacing w:after="0" w:line="264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73C41">
        <w:rPr>
          <w:rFonts w:ascii="Arial" w:eastAsia="Calibri" w:hAnsi="Arial" w:cs="Arial"/>
          <w:sz w:val="24"/>
          <w:szCs w:val="24"/>
          <w:lang w:eastAsia="en-US"/>
        </w:rPr>
        <w:t>Que</w:t>
      </w:r>
      <w:proofErr w:type="gramEnd"/>
      <w:r w:rsidRPr="00573C41">
        <w:rPr>
          <w:rFonts w:ascii="Arial" w:eastAsia="Calibri" w:hAnsi="Arial" w:cs="Arial"/>
          <w:sz w:val="24"/>
          <w:szCs w:val="24"/>
          <w:lang w:eastAsia="en-US"/>
        </w:rPr>
        <w:t xml:space="preserve"> por lo anteriormente expuesto y fundado, me permito someter a consideración de esta Soberanía el siguiente:</w:t>
      </w:r>
    </w:p>
    <w:p w14:paraId="436B608C" w14:textId="102F757B" w:rsidR="006964F3" w:rsidRPr="00573C41" w:rsidRDefault="006964F3" w:rsidP="006871A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7BA9AB2" w14:textId="77777777" w:rsidR="00D40DF4" w:rsidRPr="00573C41" w:rsidRDefault="00D40DF4" w:rsidP="006871A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4BC6E78" w14:textId="77777777" w:rsidR="006871A8" w:rsidRPr="00573C41" w:rsidRDefault="006871A8" w:rsidP="006871A8">
      <w:pPr>
        <w:spacing w:after="0" w:line="264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3C41">
        <w:rPr>
          <w:rFonts w:ascii="Arial" w:eastAsia="Calibri" w:hAnsi="Arial" w:cs="Arial"/>
          <w:b/>
          <w:sz w:val="24"/>
          <w:szCs w:val="24"/>
          <w:lang w:eastAsia="en-US"/>
        </w:rPr>
        <w:t>A C U E R D O</w:t>
      </w:r>
    </w:p>
    <w:p w14:paraId="1BE6AC91" w14:textId="77777777" w:rsidR="006871A8" w:rsidRPr="00573C41" w:rsidRDefault="006871A8" w:rsidP="006871A8">
      <w:pPr>
        <w:spacing w:after="0" w:line="26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55DD05F" w14:textId="78060C1B" w:rsidR="006964F3" w:rsidRPr="00DD79B7" w:rsidRDefault="006871A8" w:rsidP="00DA2C0F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A2C0F">
        <w:rPr>
          <w:rFonts w:ascii="Arial" w:eastAsia="Calibri" w:hAnsi="Arial" w:cs="Arial"/>
          <w:b/>
          <w:sz w:val="24"/>
          <w:szCs w:val="24"/>
          <w:lang w:eastAsia="en-US"/>
        </w:rPr>
        <w:t>ÚNICO.-</w:t>
      </w:r>
      <w:proofErr w:type="gramEnd"/>
      <w:r w:rsidRPr="00DA2C0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E203C" w:rsidRPr="00DD79B7">
        <w:rPr>
          <w:rFonts w:ascii="Arial" w:eastAsia="Calibri" w:hAnsi="Arial" w:cs="Arial"/>
          <w:sz w:val="24"/>
          <w:szCs w:val="24"/>
          <w:lang w:eastAsia="en-US"/>
        </w:rPr>
        <w:t xml:space="preserve">Se exhorta respetuosamente a los </w:t>
      </w:r>
      <w:r w:rsidR="007F580B" w:rsidRPr="00DD79B7">
        <w:rPr>
          <w:rFonts w:ascii="Arial" w:eastAsia="Calibri" w:hAnsi="Arial" w:cs="Arial"/>
          <w:sz w:val="24"/>
          <w:szCs w:val="24"/>
          <w:lang w:eastAsia="en-US"/>
        </w:rPr>
        <w:t>Ayuntamientos</w:t>
      </w:r>
      <w:r w:rsidR="00DA2C0F" w:rsidRPr="00DD79B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A2C0F" w:rsidRPr="00DD79B7">
        <w:rPr>
          <w:rFonts w:ascii="Arial" w:hAnsi="Arial" w:cs="Arial"/>
          <w:sz w:val="24"/>
          <w:szCs w:val="24"/>
        </w:rPr>
        <w:t>que cuenten con oficinas de Catastro Descentralizadas</w:t>
      </w:r>
      <w:r w:rsidR="006A265D" w:rsidRPr="00DD79B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C604BD" w:rsidRPr="00DD79B7">
        <w:rPr>
          <w:rFonts w:ascii="Arial" w:eastAsia="Calibri" w:hAnsi="Arial" w:cs="Arial"/>
          <w:sz w:val="24"/>
          <w:szCs w:val="24"/>
          <w:lang w:eastAsia="en-US"/>
        </w:rPr>
        <w:t xml:space="preserve">a </w:t>
      </w:r>
      <w:r w:rsidR="00E03349" w:rsidRPr="00DD79B7">
        <w:rPr>
          <w:rFonts w:ascii="Arial" w:eastAsia="Calibri" w:hAnsi="Arial" w:cs="Arial"/>
          <w:sz w:val="24"/>
          <w:szCs w:val="24"/>
          <w:lang w:eastAsia="en-US"/>
        </w:rPr>
        <w:t xml:space="preserve">observar </w:t>
      </w:r>
      <w:r w:rsidR="00C604BD" w:rsidRPr="00DD79B7">
        <w:rPr>
          <w:rFonts w:ascii="Arial" w:eastAsia="Calibri" w:hAnsi="Arial" w:cs="Arial"/>
          <w:sz w:val="24"/>
          <w:szCs w:val="24"/>
          <w:lang w:eastAsia="en-US"/>
        </w:rPr>
        <w:t>los términos, establecidos en el Programa de Regularización de Predios Rústicos, Urbanos y Suburbanos en el Régimen de Propiedad Privada del Estado de Puebla</w:t>
      </w:r>
      <w:r w:rsidR="00E83EC6" w:rsidRPr="00DD79B7">
        <w:rPr>
          <w:rFonts w:ascii="Arial" w:eastAsia="Calibri" w:hAnsi="Arial" w:cs="Arial"/>
          <w:sz w:val="24"/>
          <w:szCs w:val="24"/>
          <w:lang w:eastAsia="en-US"/>
        </w:rPr>
        <w:t xml:space="preserve">, y expidan en tiempo y forma </w:t>
      </w:r>
      <w:r w:rsidR="00C604BD" w:rsidRPr="00DD79B7">
        <w:rPr>
          <w:rFonts w:ascii="Arial" w:eastAsia="Calibri" w:hAnsi="Arial" w:cs="Arial"/>
          <w:sz w:val="24"/>
          <w:szCs w:val="24"/>
          <w:lang w:eastAsia="en-US"/>
        </w:rPr>
        <w:t>los levantamientos topográficos y documentos catastrales</w:t>
      </w:r>
      <w:r w:rsidR="00E83EC6" w:rsidRPr="00DD79B7">
        <w:rPr>
          <w:rFonts w:ascii="Arial" w:eastAsia="Calibri" w:hAnsi="Arial" w:cs="Arial"/>
          <w:sz w:val="24"/>
          <w:szCs w:val="24"/>
          <w:lang w:eastAsia="en-US"/>
        </w:rPr>
        <w:t xml:space="preserve"> correspondientes</w:t>
      </w:r>
      <w:r w:rsidR="006964F3" w:rsidRPr="00DD79B7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4BCAA45" w14:textId="77777777" w:rsidR="00DA2C0F" w:rsidRPr="00573C41" w:rsidRDefault="00DA2C0F" w:rsidP="006871A8">
      <w:pPr>
        <w:pStyle w:val="Prrafodelista"/>
        <w:spacing w:after="0" w:line="264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1696AC" w14:textId="77777777" w:rsidR="00573C41" w:rsidRPr="00573C41" w:rsidRDefault="00573C41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148CA991" w14:textId="77777777" w:rsidR="006871A8" w:rsidRPr="00573C41" w:rsidRDefault="006871A8" w:rsidP="006871A8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  <w:r w:rsidRPr="00573C41">
        <w:rPr>
          <w:rFonts w:ascii="Arial" w:eastAsia="Times New Roman" w:hAnsi="Arial" w:cs="Arial"/>
          <w:b/>
          <w:sz w:val="24"/>
          <w:szCs w:val="24"/>
          <w:lang w:val="de-DE" w:eastAsia="es-ES"/>
        </w:rPr>
        <w:t>A T E N T A M E N T E</w:t>
      </w:r>
    </w:p>
    <w:p w14:paraId="7351CB82" w14:textId="77777777" w:rsidR="006871A8" w:rsidRPr="00573C41" w:rsidRDefault="006871A8" w:rsidP="006871A8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  <w:r w:rsidRPr="00573C41">
        <w:rPr>
          <w:rFonts w:ascii="Arial" w:eastAsia="Times New Roman" w:hAnsi="Arial" w:cs="Arial"/>
          <w:b/>
          <w:sz w:val="24"/>
          <w:szCs w:val="24"/>
          <w:lang w:val="de-DE" w:eastAsia="es-ES"/>
        </w:rPr>
        <w:t xml:space="preserve">CUATRO VECES HEROICA PUEBLA DE ZARAGOZA, </w:t>
      </w:r>
    </w:p>
    <w:p w14:paraId="23F91E08" w14:textId="01F9CD3D" w:rsidR="006871A8" w:rsidRPr="00573C41" w:rsidRDefault="006871A8" w:rsidP="006871A8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  <w:r w:rsidRPr="00573C41">
        <w:rPr>
          <w:rFonts w:ascii="Arial" w:eastAsia="Times New Roman" w:hAnsi="Arial" w:cs="Arial"/>
          <w:b/>
          <w:sz w:val="24"/>
          <w:szCs w:val="24"/>
          <w:lang w:val="de-DE" w:eastAsia="es-ES"/>
        </w:rPr>
        <w:t xml:space="preserve">A </w:t>
      </w:r>
      <w:r w:rsidR="004A5428">
        <w:rPr>
          <w:rFonts w:ascii="Arial" w:eastAsia="Times New Roman" w:hAnsi="Arial" w:cs="Arial"/>
          <w:b/>
          <w:sz w:val="24"/>
          <w:szCs w:val="24"/>
          <w:lang w:val="de-DE" w:eastAsia="es-ES"/>
        </w:rPr>
        <w:t>1</w:t>
      </w:r>
      <w:r w:rsidR="003C6BA3">
        <w:rPr>
          <w:rFonts w:ascii="Arial" w:eastAsia="Times New Roman" w:hAnsi="Arial" w:cs="Arial"/>
          <w:b/>
          <w:sz w:val="24"/>
          <w:szCs w:val="24"/>
          <w:lang w:val="de-DE" w:eastAsia="es-ES"/>
        </w:rPr>
        <w:t>7</w:t>
      </w:r>
      <w:r w:rsidRPr="00573C41">
        <w:rPr>
          <w:rFonts w:ascii="Arial" w:eastAsia="Times New Roman" w:hAnsi="Arial" w:cs="Arial"/>
          <w:b/>
          <w:sz w:val="24"/>
          <w:szCs w:val="24"/>
          <w:lang w:val="de-DE" w:eastAsia="es-ES"/>
        </w:rPr>
        <w:t xml:space="preserve"> DE </w:t>
      </w:r>
      <w:r w:rsidR="00F92FDC">
        <w:rPr>
          <w:rFonts w:ascii="Arial" w:eastAsia="Times New Roman" w:hAnsi="Arial" w:cs="Arial"/>
          <w:b/>
          <w:sz w:val="24"/>
          <w:szCs w:val="24"/>
          <w:lang w:val="de-DE" w:eastAsia="es-ES"/>
        </w:rPr>
        <w:t xml:space="preserve">MAYO </w:t>
      </w:r>
      <w:r w:rsidRPr="00573C41">
        <w:rPr>
          <w:rFonts w:ascii="Arial" w:eastAsia="Times New Roman" w:hAnsi="Arial" w:cs="Arial"/>
          <w:b/>
          <w:sz w:val="24"/>
          <w:szCs w:val="24"/>
          <w:lang w:val="de-DE" w:eastAsia="es-ES"/>
        </w:rPr>
        <w:t>DE 2022</w:t>
      </w:r>
    </w:p>
    <w:p w14:paraId="2701F0A6" w14:textId="77777777" w:rsidR="006871A8" w:rsidRPr="00573C41" w:rsidRDefault="006871A8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1079DEAF" w14:textId="77777777" w:rsidR="006871A8" w:rsidRPr="00573C41" w:rsidRDefault="006871A8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2E6092E7" w14:textId="77777777" w:rsidR="006871A8" w:rsidRPr="00573C41" w:rsidRDefault="006871A8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49F06BA7" w14:textId="2D44B044" w:rsidR="006871A8" w:rsidRPr="00573C41" w:rsidRDefault="006871A8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3F2AF3B9" w14:textId="77777777" w:rsidR="003D7F91" w:rsidRPr="00573C41" w:rsidRDefault="003D7F91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275EC74D" w14:textId="77777777" w:rsidR="006871A8" w:rsidRPr="00573C41" w:rsidRDefault="006871A8" w:rsidP="006871A8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</w:p>
    <w:p w14:paraId="67CB1E4D" w14:textId="0A2F607E" w:rsidR="006871A8" w:rsidRPr="004A5428" w:rsidRDefault="004A5428" w:rsidP="004A5428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5428">
        <w:rPr>
          <w:rFonts w:ascii="Arial" w:hAnsi="Arial" w:cs="Arial"/>
          <w:b/>
          <w:bCs/>
          <w:iCs/>
          <w:sz w:val="24"/>
          <w:szCs w:val="24"/>
        </w:rPr>
        <w:t xml:space="preserve">DIP. </w:t>
      </w:r>
      <w:r w:rsidRPr="004A5428">
        <w:rPr>
          <w:rFonts w:ascii="Arial" w:hAnsi="Arial" w:cs="Arial"/>
          <w:b/>
          <w:bCs/>
          <w:sz w:val="24"/>
          <w:szCs w:val="24"/>
        </w:rPr>
        <w:t>EDGAR VALENTÍN GARMENDIA DE LOS SANTOS</w:t>
      </w:r>
    </w:p>
    <w:p w14:paraId="76565426" w14:textId="77777777" w:rsidR="006871A8" w:rsidRPr="00573C41" w:rsidRDefault="006871A8" w:rsidP="006871A8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14:paraId="68E73063" w14:textId="77777777" w:rsidR="006871A8" w:rsidRPr="00573C41" w:rsidRDefault="006871A8" w:rsidP="006871A8"/>
    <w:p w14:paraId="0838261A" w14:textId="77777777" w:rsidR="006871A8" w:rsidRPr="00573C41" w:rsidRDefault="006871A8" w:rsidP="006871A8"/>
    <w:p w14:paraId="6D1A68A4" w14:textId="77777777" w:rsidR="004D48F7" w:rsidRPr="00573C41" w:rsidRDefault="004D48F7"/>
    <w:sectPr w:rsidR="004D48F7" w:rsidRPr="00573C41" w:rsidSect="00D40DF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6F2A" w14:textId="77777777" w:rsidR="00D73D7B" w:rsidRDefault="00D73D7B" w:rsidP="006871A8">
      <w:pPr>
        <w:spacing w:after="0" w:line="240" w:lineRule="auto"/>
      </w:pPr>
      <w:r>
        <w:separator/>
      </w:r>
    </w:p>
  </w:endnote>
  <w:endnote w:type="continuationSeparator" w:id="0">
    <w:p w14:paraId="703EF3D1" w14:textId="77777777" w:rsidR="00D73D7B" w:rsidRDefault="00D73D7B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021" w14:textId="77777777" w:rsidR="00CE5BBD" w:rsidRDefault="00D73D7B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E84E" w14:textId="77777777" w:rsidR="00D73D7B" w:rsidRDefault="00D73D7B" w:rsidP="006871A8">
      <w:pPr>
        <w:spacing w:after="0" w:line="240" w:lineRule="auto"/>
      </w:pPr>
      <w:r>
        <w:separator/>
      </w:r>
    </w:p>
  </w:footnote>
  <w:footnote w:type="continuationSeparator" w:id="0">
    <w:p w14:paraId="5FA4D0C3" w14:textId="77777777" w:rsidR="00D73D7B" w:rsidRDefault="00D73D7B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DFB" w14:textId="3726165F" w:rsidR="00573C41" w:rsidRDefault="00D73D7B">
    <w:pPr>
      <w:pStyle w:val="Encabezado"/>
    </w:pPr>
    <w:r>
      <w:rPr>
        <w:noProof/>
      </w:rPr>
      <w:pict w14:anchorId="4B350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0829" o:spid="_x0000_s1027" type="#_x0000_t75" style="position:absolute;margin-left:0;margin-top:0;width:441.7pt;height:572.35pt;z-index:-251657216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C1C4" w14:textId="11DC204D" w:rsidR="00CE5BBD" w:rsidRDefault="003C6BA3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E9FE82" wp14:editId="54DC49E3">
          <wp:simplePos x="0" y="0"/>
          <wp:positionH relativeFrom="column">
            <wp:posOffset>4526915</wp:posOffset>
          </wp:positionH>
          <wp:positionV relativeFrom="paragraph">
            <wp:posOffset>6985</wp:posOffset>
          </wp:positionV>
          <wp:extent cx="1555750" cy="640080"/>
          <wp:effectExtent l="0" t="0" r="6350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WhatsApp Image 2021-09-24 at 12.11.05.jpe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9000"/>
                            </a14:imgEffect>
                            <a14:imgEffect>
                              <a14:brightnessContrast contrast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4" t="18392" r="30958" b="38872"/>
                  <a:stretch/>
                </pic:blipFill>
                <pic:spPr bwMode="auto">
                  <a:xfrm>
                    <a:off x="0" y="0"/>
                    <a:ext cx="1555750" cy="640080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7B">
      <w:rPr>
        <w:noProof/>
        <w:sz w:val="26"/>
        <w:szCs w:val="26"/>
        <w:lang w:val="es-MX" w:eastAsia="es-MX"/>
      </w:rPr>
      <w:pict w14:anchorId="4130F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0830" o:spid="_x0000_s1028" type="#_x0000_t75" style="position:absolute;margin-left:0;margin-top:0;width:441.7pt;height:572.35pt;z-index:-251656192;mso-position-horizontal:center;mso-position-horizontal-relative:margin;mso-position-vertical:center;mso-position-vertical-relative:margin" o:allowincell="f">
          <v:imagedata r:id="rId3" o:title="thumbnail_LogotipoCongresoV" gain="19661f" blacklevel="22938f"/>
          <w10:wrap anchorx="margin" anchory="margin"/>
        </v:shape>
      </w:pict>
    </w:r>
    <w:r w:rsidR="00604290" w:rsidRPr="006D76B9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7216" behindDoc="0" locked="0" layoutInCell="1" allowOverlap="1" wp14:anchorId="1F2B925F" wp14:editId="062C7F4A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2362200" cy="942420"/>
          <wp:effectExtent l="0" t="0" r="0" b="0"/>
          <wp:wrapNone/>
          <wp:docPr id="15" name="Imagen 15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4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36A93" w14:textId="7D3914B3" w:rsidR="00CE5BBD" w:rsidRDefault="00D73D7B">
    <w:pPr>
      <w:pStyle w:val="Encabezado"/>
    </w:pPr>
  </w:p>
  <w:p w14:paraId="275C523C" w14:textId="77777777" w:rsidR="00CE5BBD" w:rsidRDefault="00D73D7B">
    <w:pPr>
      <w:pStyle w:val="Encabezado"/>
    </w:pPr>
  </w:p>
  <w:p w14:paraId="1BCB908E" w14:textId="77777777" w:rsidR="00CE5BBD" w:rsidRDefault="00D73D7B">
    <w:pPr>
      <w:pStyle w:val="Encabezado"/>
    </w:pPr>
  </w:p>
  <w:p w14:paraId="6B75595F" w14:textId="77777777" w:rsidR="00CE5BBD" w:rsidRDefault="00D73D7B">
    <w:pPr>
      <w:pStyle w:val="Encabezado"/>
    </w:pPr>
  </w:p>
  <w:p w14:paraId="0FF27DC9" w14:textId="77777777" w:rsidR="00CE5BBD" w:rsidRDefault="00D73D7B">
    <w:pPr>
      <w:pStyle w:val="Encabezado"/>
    </w:pPr>
  </w:p>
  <w:p w14:paraId="64D04DA0" w14:textId="77777777" w:rsidR="00CE5BBD" w:rsidRDefault="00D73D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5986" w14:textId="65A31F9C" w:rsidR="00573C41" w:rsidRDefault="00D73D7B">
    <w:pPr>
      <w:pStyle w:val="Encabezado"/>
    </w:pPr>
    <w:r>
      <w:rPr>
        <w:noProof/>
      </w:rPr>
      <w:pict w14:anchorId="3E009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0828" o:spid="_x0000_s1026" type="#_x0000_t75" style="position:absolute;margin-left:0;margin-top:0;width:441.7pt;height:572.35pt;z-index:-251658240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4DD"/>
    <w:multiLevelType w:val="hybridMultilevel"/>
    <w:tmpl w:val="2C6E03B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013819"/>
    <w:multiLevelType w:val="hybridMultilevel"/>
    <w:tmpl w:val="926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6411"/>
    <w:multiLevelType w:val="hybridMultilevel"/>
    <w:tmpl w:val="7D22E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1536">
    <w:abstractNumId w:val="1"/>
  </w:num>
  <w:num w:numId="2" w16cid:durableId="1615552758">
    <w:abstractNumId w:val="0"/>
  </w:num>
  <w:num w:numId="3" w16cid:durableId="136385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8"/>
    <w:rsid w:val="00012E93"/>
    <w:rsid w:val="0013012F"/>
    <w:rsid w:val="00135B30"/>
    <w:rsid w:val="0019477F"/>
    <w:rsid w:val="001E1D99"/>
    <w:rsid w:val="001E7F3C"/>
    <w:rsid w:val="001F27D7"/>
    <w:rsid w:val="00200C4F"/>
    <w:rsid w:val="002151C3"/>
    <w:rsid w:val="002172E5"/>
    <w:rsid w:val="00220783"/>
    <w:rsid w:val="00222A97"/>
    <w:rsid w:val="00286406"/>
    <w:rsid w:val="00290798"/>
    <w:rsid w:val="002A638C"/>
    <w:rsid w:val="002B27A2"/>
    <w:rsid w:val="003040F1"/>
    <w:rsid w:val="00316A21"/>
    <w:rsid w:val="00375051"/>
    <w:rsid w:val="0037612E"/>
    <w:rsid w:val="003825F9"/>
    <w:rsid w:val="003C6BA3"/>
    <w:rsid w:val="003D7F91"/>
    <w:rsid w:val="003E353B"/>
    <w:rsid w:val="003F111F"/>
    <w:rsid w:val="004A5428"/>
    <w:rsid w:val="004B2367"/>
    <w:rsid w:val="004D48F7"/>
    <w:rsid w:val="004E6CD6"/>
    <w:rsid w:val="00504280"/>
    <w:rsid w:val="00504A06"/>
    <w:rsid w:val="00506782"/>
    <w:rsid w:val="005548E3"/>
    <w:rsid w:val="00573C41"/>
    <w:rsid w:val="0058732C"/>
    <w:rsid w:val="00595DDE"/>
    <w:rsid w:val="005C041E"/>
    <w:rsid w:val="00604290"/>
    <w:rsid w:val="0064330F"/>
    <w:rsid w:val="006871A8"/>
    <w:rsid w:val="006964F3"/>
    <w:rsid w:val="006A265D"/>
    <w:rsid w:val="006A2BF6"/>
    <w:rsid w:val="006B0B20"/>
    <w:rsid w:val="006C1591"/>
    <w:rsid w:val="007217A9"/>
    <w:rsid w:val="00777471"/>
    <w:rsid w:val="00786D06"/>
    <w:rsid w:val="007F580B"/>
    <w:rsid w:val="0081095F"/>
    <w:rsid w:val="008232A4"/>
    <w:rsid w:val="008461B6"/>
    <w:rsid w:val="00883095"/>
    <w:rsid w:val="008924F8"/>
    <w:rsid w:val="008C33D1"/>
    <w:rsid w:val="008F013B"/>
    <w:rsid w:val="00916675"/>
    <w:rsid w:val="00942707"/>
    <w:rsid w:val="00956B50"/>
    <w:rsid w:val="009C07FF"/>
    <w:rsid w:val="009D427A"/>
    <w:rsid w:val="009D463A"/>
    <w:rsid w:val="00A110C6"/>
    <w:rsid w:val="00A1427F"/>
    <w:rsid w:val="00A161BE"/>
    <w:rsid w:val="00A24378"/>
    <w:rsid w:val="00A8708A"/>
    <w:rsid w:val="00AB120E"/>
    <w:rsid w:val="00AB182E"/>
    <w:rsid w:val="00AC2E7B"/>
    <w:rsid w:val="00AD6C77"/>
    <w:rsid w:val="00B07E2A"/>
    <w:rsid w:val="00BA2E05"/>
    <w:rsid w:val="00BF5F22"/>
    <w:rsid w:val="00C037D1"/>
    <w:rsid w:val="00C32BA2"/>
    <w:rsid w:val="00C604BD"/>
    <w:rsid w:val="00C93B22"/>
    <w:rsid w:val="00CB0605"/>
    <w:rsid w:val="00CE4FA7"/>
    <w:rsid w:val="00CF107E"/>
    <w:rsid w:val="00D11BF3"/>
    <w:rsid w:val="00D32092"/>
    <w:rsid w:val="00D40DF4"/>
    <w:rsid w:val="00D43B35"/>
    <w:rsid w:val="00D73D7B"/>
    <w:rsid w:val="00D845E3"/>
    <w:rsid w:val="00DA2C0F"/>
    <w:rsid w:val="00DA3C6A"/>
    <w:rsid w:val="00DA5162"/>
    <w:rsid w:val="00DC2DB8"/>
    <w:rsid w:val="00DD79B7"/>
    <w:rsid w:val="00DF2E19"/>
    <w:rsid w:val="00E03349"/>
    <w:rsid w:val="00E135CE"/>
    <w:rsid w:val="00E52F6C"/>
    <w:rsid w:val="00E73BD7"/>
    <w:rsid w:val="00E82094"/>
    <w:rsid w:val="00E83EC6"/>
    <w:rsid w:val="00ED6627"/>
    <w:rsid w:val="00EE203C"/>
    <w:rsid w:val="00EF3BC1"/>
    <w:rsid w:val="00F830CA"/>
    <w:rsid w:val="00F862CF"/>
    <w:rsid w:val="00F92FDC"/>
    <w:rsid w:val="00FF0BC6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78F7D"/>
  <w15:chartTrackingRefBased/>
  <w15:docId w15:val="{40AFA8A5-35AE-4876-B0A1-A69BEA5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8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1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71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71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71A8"/>
    <w:rPr>
      <w:lang w:val="en-US"/>
    </w:rPr>
  </w:style>
  <w:style w:type="paragraph" w:styleId="Prrafodelista">
    <w:name w:val="List Paragraph"/>
    <w:basedOn w:val="Normal"/>
    <w:uiPriority w:val="34"/>
    <w:qFormat/>
    <w:rsid w:val="006871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71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71A8"/>
    <w:rPr>
      <w:rFonts w:eastAsiaTheme="minorEastAsia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871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2B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2BF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30F"/>
    <w:rPr>
      <w:color w:val="954F72" w:themeColor="followedHyperlink"/>
      <w:u w:val="single"/>
    </w:rPr>
  </w:style>
  <w:style w:type="character" w:customStyle="1" w:styleId="markedcontent">
    <w:name w:val="markedcontent"/>
    <w:basedOn w:val="Fuentedeprrafopredeter"/>
    <w:rsid w:val="00D4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A8D7-CD18-422D-9BDB-FDEA34C6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Esteban Israel Mejía Romero</cp:lastModifiedBy>
  <cp:revision>2</cp:revision>
  <dcterms:created xsi:type="dcterms:W3CDTF">2022-05-18T12:55:00Z</dcterms:created>
  <dcterms:modified xsi:type="dcterms:W3CDTF">2022-05-18T12:55:00Z</dcterms:modified>
</cp:coreProperties>
</file>