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8BE7" w14:textId="77777777" w:rsidR="0070429A" w:rsidRDefault="00451E41" w:rsidP="00451E41">
      <w:pPr>
        <w:pStyle w:val="Sinespaciado1"/>
        <w:spacing w:line="247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 w:rsidRPr="00DE7035">
        <w:rPr>
          <w:rFonts w:ascii="Century Gothic" w:hAnsi="Century Gothic"/>
          <w:b/>
        </w:rPr>
        <w:t>COMISI</w:t>
      </w:r>
      <w:r w:rsidR="004D115B">
        <w:rPr>
          <w:rFonts w:ascii="Century Gothic" w:hAnsi="Century Gothic"/>
          <w:b/>
        </w:rPr>
        <w:t>Ó</w:t>
      </w:r>
      <w:r>
        <w:rPr>
          <w:rFonts w:ascii="Century Gothic" w:hAnsi="Century Gothic"/>
          <w:b/>
        </w:rPr>
        <w:t>N</w:t>
      </w:r>
      <w:r w:rsidR="004D115B">
        <w:rPr>
          <w:rFonts w:ascii="Century Gothic" w:hAnsi="Century Gothic"/>
          <w:b/>
        </w:rPr>
        <w:t xml:space="preserve"> DE </w:t>
      </w:r>
      <w:r w:rsidR="0070429A">
        <w:rPr>
          <w:rFonts w:ascii="Century Gothic" w:hAnsi="Century Gothic"/>
          <w:b/>
        </w:rPr>
        <w:t xml:space="preserve">MEDIO AMBIENTE, RECURSOS NATURALES </w:t>
      </w:r>
    </w:p>
    <w:p w14:paraId="41ABD82B" w14:textId="445E6236" w:rsidR="00451E41" w:rsidRDefault="0070429A" w:rsidP="00451E41">
      <w:pPr>
        <w:pStyle w:val="Sinespaciado1"/>
        <w:spacing w:line="247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 CAMBIO CLIMÁTICO</w:t>
      </w:r>
    </w:p>
    <w:p w14:paraId="7890C841" w14:textId="77777777" w:rsidR="004D66D0" w:rsidRPr="00DE7035" w:rsidRDefault="004D66D0" w:rsidP="00DE7035">
      <w:pPr>
        <w:pStyle w:val="Sinespaciado1"/>
        <w:spacing w:line="247" w:lineRule="auto"/>
        <w:jc w:val="center"/>
        <w:rPr>
          <w:rFonts w:ascii="Century Gothic" w:hAnsi="Century Gothic"/>
          <w:b/>
        </w:rPr>
      </w:pPr>
    </w:p>
    <w:p w14:paraId="7A2EAD9A" w14:textId="77777777" w:rsidR="008252BD" w:rsidRDefault="008252BD" w:rsidP="008252BD">
      <w:pPr>
        <w:tabs>
          <w:tab w:val="left" w:pos="1560"/>
        </w:tabs>
        <w:autoSpaceDE w:val="0"/>
        <w:autoSpaceDN w:val="0"/>
        <w:adjustRightInd w:val="0"/>
        <w:spacing w:after="0" w:line="247" w:lineRule="auto"/>
        <w:jc w:val="right"/>
        <w:rPr>
          <w:rFonts w:ascii="Century Gothic" w:hAnsi="Century Gothic" w:cs="Tahoma"/>
          <w:b/>
          <w:bCs/>
        </w:rPr>
      </w:pPr>
    </w:p>
    <w:p w14:paraId="14709BAD" w14:textId="77777777" w:rsidR="00E526F5" w:rsidRPr="00DE7035" w:rsidRDefault="00E526F5" w:rsidP="00DE7035">
      <w:pPr>
        <w:tabs>
          <w:tab w:val="left" w:pos="1560"/>
        </w:tabs>
        <w:autoSpaceDE w:val="0"/>
        <w:autoSpaceDN w:val="0"/>
        <w:adjustRightInd w:val="0"/>
        <w:spacing w:after="0" w:line="247" w:lineRule="auto"/>
        <w:jc w:val="both"/>
        <w:rPr>
          <w:rFonts w:ascii="Century Gothic" w:hAnsi="Century Gothic" w:cs="Tahoma"/>
          <w:b/>
          <w:bCs/>
        </w:rPr>
      </w:pPr>
    </w:p>
    <w:p w14:paraId="75335C4A" w14:textId="77777777" w:rsidR="0070429A" w:rsidRDefault="0070429A" w:rsidP="00DE7035">
      <w:pPr>
        <w:tabs>
          <w:tab w:val="left" w:pos="1560"/>
        </w:tabs>
        <w:autoSpaceDE w:val="0"/>
        <w:autoSpaceDN w:val="0"/>
        <w:adjustRightInd w:val="0"/>
        <w:spacing w:after="0" w:line="247" w:lineRule="auto"/>
        <w:jc w:val="both"/>
        <w:rPr>
          <w:rFonts w:ascii="Century Gothic" w:hAnsi="Century Gothic" w:cs="Tahoma"/>
          <w:b/>
          <w:bCs/>
        </w:rPr>
      </w:pPr>
    </w:p>
    <w:p w14:paraId="3F1109A0" w14:textId="044564A9" w:rsidR="00493CF3" w:rsidRPr="00DE7035" w:rsidRDefault="00493CF3" w:rsidP="00DE7035">
      <w:pPr>
        <w:tabs>
          <w:tab w:val="left" w:pos="1560"/>
        </w:tabs>
        <w:autoSpaceDE w:val="0"/>
        <w:autoSpaceDN w:val="0"/>
        <w:adjustRightInd w:val="0"/>
        <w:spacing w:after="0" w:line="247" w:lineRule="auto"/>
        <w:jc w:val="both"/>
        <w:rPr>
          <w:rFonts w:ascii="Century Gothic" w:hAnsi="Century Gothic" w:cs="Tahoma"/>
          <w:b/>
          <w:bCs/>
        </w:rPr>
      </w:pPr>
      <w:r w:rsidRPr="00DE7035">
        <w:rPr>
          <w:rFonts w:ascii="Century Gothic" w:hAnsi="Century Gothic" w:cs="Tahoma"/>
          <w:b/>
          <w:bCs/>
        </w:rPr>
        <w:t>HONORABLE ASAMBLEA:</w:t>
      </w:r>
    </w:p>
    <w:p w14:paraId="0BAB076F" w14:textId="77777777" w:rsidR="00493CF3" w:rsidRDefault="00493CF3" w:rsidP="00DE7035">
      <w:pPr>
        <w:spacing w:after="0" w:line="247" w:lineRule="auto"/>
        <w:jc w:val="both"/>
        <w:rPr>
          <w:rFonts w:ascii="Century Gothic" w:hAnsi="Century Gothic" w:cs="Tahoma"/>
          <w:bCs/>
        </w:rPr>
      </w:pPr>
    </w:p>
    <w:p w14:paraId="3B48EBAA" w14:textId="77777777" w:rsidR="00EC5B11" w:rsidRPr="00DE7035" w:rsidRDefault="00EC5B11" w:rsidP="00DE7035">
      <w:pPr>
        <w:spacing w:after="0" w:line="247" w:lineRule="auto"/>
        <w:jc w:val="both"/>
        <w:rPr>
          <w:rFonts w:ascii="Century Gothic" w:hAnsi="Century Gothic" w:cs="Tahoma"/>
          <w:bCs/>
        </w:rPr>
      </w:pPr>
    </w:p>
    <w:p w14:paraId="7785B764" w14:textId="56716829" w:rsidR="00493CF3" w:rsidRPr="00DE7035" w:rsidRDefault="00493CF3" w:rsidP="000D7564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DE7035">
        <w:rPr>
          <w:rFonts w:ascii="Century Gothic" w:hAnsi="Century Gothic" w:cs="Tahoma"/>
          <w:b/>
          <w:bCs/>
        </w:rPr>
        <w:t>Dictamen q</w:t>
      </w:r>
      <w:r w:rsidR="00C5407F" w:rsidRPr="00DE7035">
        <w:rPr>
          <w:rFonts w:ascii="Century Gothic" w:hAnsi="Century Gothic" w:cs="Tahoma"/>
          <w:b/>
          <w:bCs/>
        </w:rPr>
        <w:t>ue presenta</w:t>
      </w:r>
      <w:r w:rsidR="004D115B">
        <w:rPr>
          <w:rFonts w:ascii="Century Gothic" w:hAnsi="Century Gothic" w:cs="Tahoma"/>
          <w:b/>
          <w:bCs/>
        </w:rPr>
        <w:t xml:space="preserve"> la</w:t>
      </w:r>
      <w:r w:rsidR="00833DF2">
        <w:rPr>
          <w:rFonts w:ascii="Century Gothic" w:hAnsi="Century Gothic" w:cs="Tahoma"/>
          <w:b/>
          <w:bCs/>
        </w:rPr>
        <w:t xml:space="preserve"> </w:t>
      </w:r>
      <w:bookmarkStart w:id="1" w:name="_Hlk496778623"/>
      <w:r w:rsidR="00C5407F" w:rsidRPr="00DE7035">
        <w:rPr>
          <w:rFonts w:ascii="Century Gothic" w:hAnsi="Century Gothic" w:cs="Tahoma"/>
          <w:b/>
          <w:bCs/>
        </w:rPr>
        <w:t>Comisi</w:t>
      </w:r>
      <w:r w:rsidR="004D115B">
        <w:rPr>
          <w:rFonts w:ascii="Century Gothic" w:hAnsi="Century Gothic" w:cs="Tahoma"/>
          <w:b/>
          <w:bCs/>
        </w:rPr>
        <w:t xml:space="preserve">ón de </w:t>
      </w:r>
      <w:r w:rsidR="0070429A">
        <w:rPr>
          <w:rFonts w:ascii="Century Gothic" w:hAnsi="Century Gothic" w:cs="Tahoma"/>
          <w:b/>
          <w:bCs/>
        </w:rPr>
        <w:t>Medio Ambiente, Recursos Naturales y Cambio Climático</w:t>
      </w:r>
      <w:bookmarkEnd w:id="1"/>
      <w:r w:rsidRPr="00DE7035">
        <w:rPr>
          <w:rFonts w:ascii="Century Gothic" w:hAnsi="Century Gothic" w:cs="Tahoma"/>
          <w:b/>
          <w:bCs/>
        </w:rPr>
        <w:t xml:space="preserve"> de la </w:t>
      </w:r>
      <w:r w:rsidR="0070429A">
        <w:rPr>
          <w:rFonts w:ascii="Century Gothic" w:hAnsi="Century Gothic" w:cs="Tahoma"/>
          <w:b/>
          <w:bCs/>
        </w:rPr>
        <w:t>Sexagésima</w:t>
      </w:r>
      <w:r w:rsidRPr="00DE7035">
        <w:rPr>
          <w:rFonts w:ascii="Century Gothic" w:hAnsi="Century Gothic" w:cs="Tahoma"/>
          <w:b/>
          <w:bCs/>
        </w:rPr>
        <w:t xml:space="preserve"> Legislatura del Honorable Congreso del Estado Libre y Soberano de Puebla</w:t>
      </w:r>
      <w:r w:rsidRPr="00DE7035">
        <w:rPr>
          <w:rFonts w:ascii="Century Gothic" w:hAnsi="Century Gothic" w:cs="Tahoma"/>
          <w:bCs/>
        </w:rPr>
        <w:t>,</w:t>
      </w:r>
      <w:r w:rsidRPr="00DE7035">
        <w:rPr>
          <w:rFonts w:ascii="Century Gothic" w:hAnsi="Century Gothic" w:cs="Tahoma"/>
        </w:rPr>
        <w:t xml:space="preserve"> </w:t>
      </w:r>
      <w:r w:rsidRPr="00DE7035">
        <w:rPr>
          <w:rFonts w:ascii="Century Gothic" w:hAnsi="Century Gothic"/>
        </w:rPr>
        <w:t xml:space="preserve">con fundamento en lo dispuesto por </w:t>
      </w:r>
      <w:bookmarkStart w:id="2" w:name="_Hlk535496449"/>
      <w:r w:rsidRPr="00DE7035">
        <w:rPr>
          <w:rFonts w:ascii="Century Gothic" w:hAnsi="Century Gothic"/>
        </w:rPr>
        <w:t xml:space="preserve">los artículos 64 fracción I y </w:t>
      </w:r>
      <w:r w:rsidR="00AC5532">
        <w:rPr>
          <w:rFonts w:ascii="Century Gothic" w:hAnsi="Century Gothic"/>
        </w:rPr>
        <w:t>67</w:t>
      </w:r>
      <w:r w:rsidRPr="00DE7035">
        <w:rPr>
          <w:rFonts w:ascii="Century Gothic" w:hAnsi="Century Gothic"/>
        </w:rPr>
        <w:t xml:space="preserve"> de la Constitución Política del Estado Libre y Soberano de Puebla; 102, 1</w:t>
      </w:r>
      <w:r w:rsidR="00AC5532">
        <w:rPr>
          <w:rFonts w:ascii="Century Gothic" w:hAnsi="Century Gothic"/>
        </w:rPr>
        <w:t xml:space="preserve">10, 115 fracción </w:t>
      </w:r>
      <w:r w:rsidR="0074058B" w:rsidRPr="00DE7035">
        <w:rPr>
          <w:rFonts w:ascii="Century Gothic" w:hAnsi="Century Gothic"/>
        </w:rPr>
        <w:t xml:space="preserve">III, 119, </w:t>
      </w:r>
      <w:r w:rsidR="0074058B" w:rsidRPr="00EC5B11">
        <w:rPr>
          <w:rFonts w:ascii="Century Gothic" w:hAnsi="Century Gothic"/>
        </w:rPr>
        <w:t xml:space="preserve">123 </w:t>
      </w:r>
      <w:r w:rsidR="00DB4B0D" w:rsidRPr="00EC5B11">
        <w:rPr>
          <w:rFonts w:ascii="Century Gothic" w:hAnsi="Century Gothic"/>
        </w:rPr>
        <w:t>fracción</w:t>
      </w:r>
      <w:r w:rsidR="0033653D" w:rsidRPr="00EC5B11">
        <w:rPr>
          <w:rFonts w:ascii="Century Gothic" w:hAnsi="Century Gothic"/>
        </w:rPr>
        <w:t xml:space="preserve"> </w:t>
      </w:r>
      <w:bookmarkStart w:id="3" w:name="_Hlk503903700"/>
      <w:r w:rsidR="003761E0">
        <w:rPr>
          <w:rFonts w:ascii="Century Gothic" w:hAnsi="Century Gothic"/>
        </w:rPr>
        <w:t>XIX</w:t>
      </w:r>
      <w:bookmarkEnd w:id="3"/>
      <w:r w:rsidRPr="00DE7035">
        <w:rPr>
          <w:rFonts w:ascii="Century Gothic" w:hAnsi="Century Gothic"/>
        </w:rPr>
        <w:t xml:space="preserve">, 151, 152 y 154 de la Ley Orgánica del Poder Legislativo del Estado Libre y Soberano de Puebla; 45, 46, 47, </w:t>
      </w:r>
      <w:r w:rsidRPr="00EC5B11">
        <w:rPr>
          <w:rFonts w:ascii="Century Gothic" w:hAnsi="Century Gothic"/>
        </w:rPr>
        <w:t xml:space="preserve">48 </w:t>
      </w:r>
      <w:r w:rsidR="00DB4B0D" w:rsidRPr="00EC5B11">
        <w:rPr>
          <w:rFonts w:ascii="Century Gothic" w:hAnsi="Century Gothic"/>
        </w:rPr>
        <w:t>fracción</w:t>
      </w:r>
      <w:r w:rsidR="006446D5" w:rsidRPr="00EC5B11">
        <w:rPr>
          <w:rFonts w:ascii="Century Gothic" w:hAnsi="Century Gothic"/>
        </w:rPr>
        <w:t xml:space="preserve"> </w:t>
      </w:r>
      <w:r w:rsidR="003761E0">
        <w:rPr>
          <w:rFonts w:ascii="Century Gothic" w:hAnsi="Century Gothic"/>
        </w:rPr>
        <w:t>XIX</w:t>
      </w:r>
      <w:r w:rsidRPr="00DE7035">
        <w:rPr>
          <w:rFonts w:ascii="Century Gothic" w:hAnsi="Century Gothic"/>
        </w:rPr>
        <w:t>, 78, 79 y 82 del Reglamento Interior del Honorable Congreso del Estado Libre</w:t>
      </w:r>
      <w:r w:rsidR="00920B3D">
        <w:rPr>
          <w:rFonts w:ascii="Century Gothic" w:hAnsi="Century Gothic"/>
        </w:rPr>
        <w:t xml:space="preserve"> </w:t>
      </w:r>
      <w:r w:rsidRPr="00DE7035">
        <w:rPr>
          <w:rFonts w:ascii="Century Gothic" w:hAnsi="Century Gothic"/>
        </w:rPr>
        <w:t>y Soberano de Puebla</w:t>
      </w:r>
      <w:bookmarkEnd w:id="2"/>
      <w:r w:rsidRPr="00DE7035">
        <w:rPr>
          <w:rFonts w:ascii="Century Gothic" w:hAnsi="Century Gothic"/>
        </w:rPr>
        <w:t>, y demás relativos aplicables, al tenor de los siguientes:</w:t>
      </w:r>
    </w:p>
    <w:p w14:paraId="5FD960FA" w14:textId="77777777" w:rsidR="005E138C" w:rsidRPr="00DE7035" w:rsidRDefault="005E138C" w:rsidP="000D7564">
      <w:pPr>
        <w:spacing w:after="0" w:line="240" w:lineRule="auto"/>
        <w:rPr>
          <w:rFonts w:ascii="Century Gothic" w:hAnsi="Century Gothic"/>
        </w:rPr>
      </w:pPr>
    </w:p>
    <w:p w14:paraId="316A3528" w14:textId="77777777" w:rsidR="00DD3093" w:rsidRPr="00DE7035" w:rsidRDefault="00DD3093" w:rsidP="000D7564">
      <w:pPr>
        <w:spacing w:after="0" w:line="240" w:lineRule="auto"/>
        <w:rPr>
          <w:rFonts w:ascii="Century Gothic" w:hAnsi="Century Gothic"/>
        </w:rPr>
      </w:pPr>
    </w:p>
    <w:p w14:paraId="52860D4E" w14:textId="77777777" w:rsidR="00DD3093" w:rsidRPr="00DE7035" w:rsidRDefault="00DD3093" w:rsidP="000D7564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DE7035">
        <w:rPr>
          <w:rFonts w:ascii="Century Gothic" w:hAnsi="Century Gothic" w:cs="Tahoma"/>
          <w:b/>
        </w:rPr>
        <w:t>ANTECEDENTES</w:t>
      </w:r>
    </w:p>
    <w:p w14:paraId="7BB95800" w14:textId="77777777" w:rsidR="009F7DFA" w:rsidRDefault="009F7DFA" w:rsidP="000D7564">
      <w:pPr>
        <w:pStyle w:val="Default"/>
        <w:jc w:val="both"/>
        <w:rPr>
          <w:rFonts w:ascii="Century Gothic" w:eastAsia="Calibri" w:hAnsi="Century Gothic" w:cs="Tahoma"/>
          <w:b/>
          <w:color w:val="auto"/>
          <w:sz w:val="22"/>
          <w:szCs w:val="22"/>
        </w:rPr>
      </w:pPr>
    </w:p>
    <w:p w14:paraId="10720312" w14:textId="77777777" w:rsidR="00181063" w:rsidRDefault="00181063" w:rsidP="000D7564">
      <w:pPr>
        <w:pStyle w:val="Default"/>
        <w:jc w:val="both"/>
        <w:rPr>
          <w:rFonts w:ascii="Century Gothic" w:eastAsia="Calibri" w:hAnsi="Century Gothic" w:cs="Tahoma"/>
          <w:b/>
          <w:color w:val="auto"/>
          <w:sz w:val="22"/>
          <w:szCs w:val="22"/>
        </w:rPr>
      </w:pPr>
    </w:p>
    <w:p w14:paraId="00EC81D0" w14:textId="49B609B3" w:rsidR="00E526F5" w:rsidRPr="00011BBD" w:rsidRDefault="00DD3093" w:rsidP="00AC5532">
      <w:pPr>
        <w:pStyle w:val="Default"/>
        <w:jc w:val="both"/>
        <w:rPr>
          <w:rFonts w:ascii="Century Gothic" w:hAnsi="Century Gothic"/>
          <w:i/>
          <w:sz w:val="22"/>
          <w:szCs w:val="22"/>
        </w:rPr>
      </w:pPr>
      <w:r w:rsidRPr="00DE7035">
        <w:rPr>
          <w:rFonts w:ascii="Century Gothic" w:hAnsi="Century Gothic" w:cs="Tahoma"/>
          <w:b/>
          <w:sz w:val="22"/>
          <w:szCs w:val="22"/>
        </w:rPr>
        <w:t>1</w:t>
      </w:r>
      <w:r w:rsidRPr="00DE7035">
        <w:rPr>
          <w:rFonts w:ascii="Century Gothic" w:hAnsi="Century Gothic" w:cs="Tahoma"/>
          <w:sz w:val="22"/>
          <w:szCs w:val="22"/>
        </w:rPr>
        <w:t xml:space="preserve">. </w:t>
      </w:r>
      <w:r w:rsidR="0060772B">
        <w:rPr>
          <w:rFonts w:ascii="Century Gothic" w:hAnsi="Century Gothic" w:cs="Tahoma"/>
          <w:sz w:val="22"/>
          <w:szCs w:val="22"/>
        </w:rPr>
        <w:t>Con fecha</w:t>
      </w:r>
      <w:r w:rsidR="00661266">
        <w:rPr>
          <w:rFonts w:ascii="Century Gothic" w:hAnsi="Century Gothic" w:cs="Tahoma"/>
          <w:sz w:val="22"/>
          <w:szCs w:val="22"/>
        </w:rPr>
        <w:t xml:space="preserve"> </w:t>
      </w:r>
      <w:r w:rsidR="0070429A">
        <w:rPr>
          <w:rFonts w:ascii="Century Gothic" w:hAnsi="Century Gothic" w:cs="Tahoma"/>
          <w:sz w:val="22"/>
          <w:szCs w:val="22"/>
        </w:rPr>
        <w:t>die</w:t>
      </w:r>
      <w:r w:rsidR="00920B3D">
        <w:rPr>
          <w:rFonts w:ascii="Century Gothic" w:hAnsi="Century Gothic" w:cs="Tahoma"/>
          <w:sz w:val="22"/>
          <w:szCs w:val="22"/>
        </w:rPr>
        <w:t>z</w:t>
      </w:r>
      <w:r w:rsidR="0070429A">
        <w:rPr>
          <w:rFonts w:ascii="Century Gothic" w:hAnsi="Century Gothic" w:cs="Tahoma"/>
          <w:sz w:val="22"/>
          <w:szCs w:val="22"/>
        </w:rPr>
        <w:t xml:space="preserve"> de </w:t>
      </w:r>
      <w:r w:rsidR="00920B3D">
        <w:rPr>
          <w:rFonts w:ascii="Century Gothic" w:hAnsi="Century Gothic" w:cs="Tahoma"/>
          <w:sz w:val="22"/>
          <w:szCs w:val="22"/>
        </w:rPr>
        <w:t>octubre</w:t>
      </w:r>
      <w:r w:rsidR="00AC03CC">
        <w:rPr>
          <w:rFonts w:ascii="Century Gothic" w:hAnsi="Century Gothic" w:cs="Tahoma"/>
          <w:sz w:val="22"/>
          <w:szCs w:val="22"/>
        </w:rPr>
        <w:t xml:space="preserve"> de dos mil dieciocho,</w:t>
      </w:r>
      <w:r w:rsidRPr="00DE7035">
        <w:rPr>
          <w:rFonts w:ascii="Century Gothic" w:hAnsi="Century Gothic" w:cs="Tahoma"/>
          <w:sz w:val="22"/>
          <w:szCs w:val="22"/>
          <w:lang w:val="es-ES_tradnl"/>
        </w:rPr>
        <w:t xml:space="preserve"> </w:t>
      </w:r>
      <w:r w:rsidR="0070429A">
        <w:rPr>
          <w:rFonts w:ascii="Century Gothic" w:hAnsi="Century Gothic" w:cs="Tahoma"/>
          <w:sz w:val="22"/>
          <w:szCs w:val="22"/>
          <w:lang w:val="es-ES_tradnl"/>
        </w:rPr>
        <w:t xml:space="preserve">la Diputada </w:t>
      </w:r>
      <w:r w:rsidR="00920B3D">
        <w:rPr>
          <w:rFonts w:ascii="Century Gothic" w:hAnsi="Century Gothic" w:cs="Tahoma"/>
          <w:sz w:val="22"/>
          <w:szCs w:val="22"/>
          <w:lang w:val="es-ES_tradnl"/>
        </w:rPr>
        <w:t>Mónica Lara Chávez</w:t>
      </w:r>
      <w:r w:rsidR="008252BD">
        <w:rPr>
          <w:rFonts w:ascii="Century Gothic" w:hAnsi="Century Gothic" w:cs="Tahoma"/>
          <w:sz w:val="22"/>
          <w:szCs w:val="22"/>
          <w:lang w:val="es-ES_tradnl"/>
        </w:rPr>
        <w:t xml:space="preserve">, </w:t>
      </w:r>
      <w:r w:rsidR="0070429A" w:rsidRPr="0070429A">
        <w:rPr>
          <w:rFonts w:ascii="Century Gothic" w:hAnsi="Century Gothic" w:cs="Tahoma"/>
          <w:sz w:val="22"/>
          <w:szCs w:val="22"/>
          <w:lang w:val="es-ES_tradnl"/>
        </w:rPr>
        <w:t xml:space="preserve">integrante del Grupo Legislativo del Partido </w:t>
      </w:r>
      <w:r w:rsidR="0070429A">
        <w:rPr>
          <w:rFonts w:ascii="Century Gothic" w:hAnsi="Century Gothic" w:cs="Tahoma"/>
          <w:sz w:val="22"/>
          <w:szCs w:val="22"/>
          <w:lang w:val="es-ES_tradnl"/>
        </w:rPr>
        <w:t>Movimiento de Regeneración Nacional</w:t>
      </w:r>
      <w:r w:rsidR="0070429A" w:rsidRPr="0070429A">
        <w:rPr>
          <w:rFonts w:ascii="Century Gothic" w:hAnsi="Century Gothic" w:cs="Tahoma"/>
          <w:sz w:val="22"/>
          <w:szCs w:val="22"/>
          <w:lang w:val="es-ES_tradnl"/>
        </w:rPr>
        <w:t xml:space="preserve"> de la </w:t>
      </w:r>
      <w:r w:rsidR="0070429A">
        <w:rPr>
          <w:rFonts w:ascii="Century Gothic" w:hAnsi="Century Gothic" w:cs="Tahoma"/>
          <w:sz w:val="22"/>
          <w:szCs w:val="22"/>
          <w:lang w:val="es-ES_tradnl"/>
        </w:rPr>
        <w:t>Sexagésima</w:t>
      </w:r>
      <w:r w:rsidR="0070429A" w:rsidRPr="0070429A">
        <w:rPr>
          <w:rFonts w:ascii="Century Gothic" w:hAnsi="Century Gothic" w:cs="Tahoma"/>
          <w:sz w:val="22"/>
          <w:szCs w:val="22"/>
          <w:lang w:val="es-ES_tradnl"/>
        </w:rPr>
        <w:t xml:space="preserve"> Legislatura del Honorable Congreso del Estado Libre y Soberano de Puebla, </w:t>
      </w:r>
      <w:r w:rsidR="0070429A" w:rsidRPr="0070429A">
        <w:rPr>
          <w:rFonts w:ascii="Century Gothic" w:hAnsi="Century Gothic" w:cs="Tahoma"/>
          <w:sz w:val="22"/>
          <w:szCs w:val="22"/>
        </w:rPr>
        <w:t>presento ante esta Soberanía</w:t>
      </w:r>
      <w:r w:rsidR="0070429A" w:rsidRPr="0070429A">
        <w:rPr>
          <w:rFonts w:ascii="Century Gothic" w:hAnsi="Century Gothic" w:cs="Tahoma"/>
          <w:sz w:val="22"/>
          <w:szCs w:val="22"/>
          <w:lang w:val="es-ES_tradnl"/>
        </w:rPr>
        <w:t xml:space="preserve"> el </w:t>
      </w:r>
      <w:bookmarkStart w:id="4" w:name="_Hlk527967223"/>
      <w:r w:rsidR="0070429A" w:rsidRPr="0070429A">
        <w:rPr>
          <w:rFonts w:ascii="Century Gothic" w:hAnsi="Century Gothic" w:cs="Tahoma"/>
          <w:sz w:val="22"/>
          <w:szCs w:val="22"/>
          <w:lang w:val="es-ES_tradnl"/>
        </w:rPr>
        <w:t>Punto de Acuerdo</w:t>
      </w:r>
      <w:r w:rsidR="0070429A" w:rsidRPr="0070429A">
        <w:rPr>
          <w:rFonts w:ascii="Century Gothic" w:hAnsi="Century Gothic" w:cs="Tahoma"/>
          <w:sz w:val="22"/>
          <w:szCs w:val="22"/>
        </w:rPr>
        <w:t xml:space="preserve"> </w:t>
      </w:r>
      <w:r w:rsidR="00011BBD">
        <w:rPr>
          <w:rFonts w:ascii="Century Gothic" w:hAnsi="Century Gothic" w:cs="Tahoma"/>
          <w:sz w:val="22"/>
          <w:szCs w:val="22"/>
        </w:rPr>
        <w:t>por virtud del cual se solicita</w:t>
      </w:r>
      <w:r w:rsidR="0070429A">
        <w:rPr>
          <w:rFonts w:ascii="Century Gothic" w:hAnsi="Century Gothic" w:cs="Tahoma"/>
          <w:sz w:val="22"/>
          <w:szCs w:val="22"/>
        </w:rPr>
        <w:t xml:space="preserve"> </w:t>
      </w:r>
      <w:r w:rsidR="00661266">
        <w:rPr>
          <w:rFonts w:ascii="Century Gothic" w:hAnsi="Century Gothic" w:cs="Tahoma"/>
          <w:sz w:val="22"/>
          <w:szCs w:val="22"/>
          <w:lang w:val="es-ES_tradnl"/>
        </w:rPr>
        <w:t>”</w:t>
      </w:r>
      <w:r w:rsidR="00AC5532" w:rsidRPr="00AC5532">
        <w:rPr>
          <w:rFonts w:ascii="Century Gothic" w:hAnsi="Century Gothic" w:cs="Tahoma"/>
          <w:i/>
        </w:rPr>
        <w:t>QUE EL EJECUTIVO DEL GOBIERNO DEL ESTADO DE</w:t>
      </w:r>
      <w:r w:rsidR="00AC5532">
        <w:rPr>
          <w:rFonts w:ascii="Century Gothic" w:hAnsi="Century Gothic" w:cs="Tahoma"/>
          <w:i/>
        </w:rPr>
        <w:t xml:space="preserve"> </w:t>
      </w:r>
      <w:r w:rsidR="00AC5532" w:rsidRPr="00AC5532">
        <w:rPr>
          <w:rFonts w:ascii="Century Gothic" w:hAnsi="Century Gothic" w:cs="Tahoma"/>
          <w:i/>
        </w:rPr>
        <w:t>PUEBLA A TRAVÉS DE LA SECRETARIA DE DESARROLLO RURAL,</w:t>
      </w:r>
      <w:r w:rsidR="00AC5532">
        <w:rPr>
          <w:rFonts w:ascii="Century Gothic" w:hAnsi="Century Gothic" w:cs="Tahoma"/>
          <w:i/>
        </w:rPr>
        <w:t xml:space="preserve"> </w:t>
      </w:r>
      <w:r w:rsidR="00AC5532" w:rsidRPr="00AC5532">
        <w:rPr>
          <w:rFonts w:ascii="Century Gothic" w:hAnsi="Century Gothic" w:cs="Tahoma"/>
          <w:i/>
        </w:rPr>
        <w:t>SUSTENTABILIDAD Y ORDENAMIENTO TERRITORIAL; PROMUEVA ANTE LOS</w:t>
      </w:r>
      <w:r w:rsidR="00AC5532">
        <w:rPr>
          <w:rFonts w:ascii="Century Gothic" w:hAnsi="Century Gothic" w:cs="Tahoma"/>
          <w:i/>
        </w:rPr>
        <w:t xml:space="preserve"> </w:t>
      </w:r>
      <w:r w:rsidR="00AC5532" w:rsidRPr="00AC5532">
        <w:rPr>
          <w:rFonts w:ascii="Century Gothic" w:hAnsi="Century Gothic" w:cs="Tahoma"/>
          <w:i/>
        </w:rPr>
        <w:t>ÓRGANOS CORRESPONDIENTES LA INICIATIVA PARA QUE LA REGIÓN IZTAPOPO</w:t>
      </w:r>
      <w:r w:rsidR="00AC5532">
        <w:rPr>
          <w:rFonts w:ascii="Century Gothic" w:hAnsi="Century Gothic" w:cs="Tahoma"/>
          <w:i/>
        </w:rPr>
        <w:t xml:space="preserve"> </w:t>
      </w:r>
      <w:r w:rsidR="00AC5532" w:rsidRPr="00AC5532">
        <w:rPr>
          <w:rFonts w:ascii="Century Gothic" w:hAnsi="Century Gothic" w:cs="Tahoma"/>
          <w:i/>
        </w:rPr>
        <w:t>SEA DECLARADA PATRIMONIO NATURAL DE LA HUMANIDAD POR LA</w:t>
      </w:r>
      <w:r w:rsidR="00AC5532">
        <w:rPr>
          <w:rFonts w:ascii="Century Gothic" w:hAnsi="Century Gothic" w:cs="Tahoma"/>
          <w:i/>
        </w:rPr>
        <w:t xml:space="preserve"> </w:t>
      </w:r>
      <w:r w:rsidR="00AC5532" w:rsidRPr="00AC5532">
        <w:rPr>
          <w:rFonts w:ascii="Century Gothic" w:hAnsi="Century Gothic" w:cs="Tahoma"/>
          <w:i/>
        </w:rPr>
        <w:t>UNESCO, DADA LA IMPORTANCIA ECOLÓGICA, ECONÓMICA, SOCIAL Y</w:t>
      </w:r>
      <w:r w:rsidR="00AC5532">
        <w:rPr>
          <w:rFonts w:ascii="Century Gothic" w:hAnsi="Century Gothic" w:cs="Tahoma"/>
          <w:i/>
        </w:rPr>
        <w:t xml:space="preserve"> </w:t>
      </w:r>
      <w:r w:rsidR="00AC5532" w:rsidRPr="00AC5532">
        <w:rPr>
          <w:rFonts w:ascii="Century Gothic" w:hAnsi="Century Gothic" w:cs="Tahoma"/>
          <w:i/>
        </w:rPr>
        <w:t>CULTURAL, PROPUESTA POR ORGANIZACIONES SOCIALES Y</w:t>
      </w:r>
      <w:r w:rsidR="00AC5532">
        <w:rPr>
          <w:rFonts w:ascii="Century Gothic" w:hAnsi="Century Gothic" w:cs="Tahoma"/>
          <w:i/>
        </w:rPr>
        <w:t xml:space="preserve"> </w:t>
      </w:r>
      <w:r w:rsidR="00AC5532" w:rsidRPr="00AC5532">
        <w:rPr>
          <w:rFonts w:ascii="Century Gothic" w:hAnsi="Century Gothic" w:cs="Tahoma"/>
          <w:i/>
          <w:sz w:val="22"/>
          <w:szCs w:val="22"/>
        </w:rPr>
        <w:t>AMBIENTALISTAS</w:t>
      </w:r>
      <w:r w:rsidR="0070429A" w:rsidRPr="00011BBD">
        <w:rPr>
          <w:rFonts w:ascii="Century Gothic" w:hAnsi="Century Gothic" w:cs="Tahoma"/>
          <w:i/>
          <w:sz w:val="22"/>
          <w:szCs w:val="22"/>
          <w:lang w:val="es-ES_tradnl"/>
        </w:rPr>
        <w:t>”</w:t>
      </w:r>
      <w:bookmarkEnd w:id="4"/>
      <w:r w:rsidR="008A4CB1">
        <w:rPr>
          <w:rFonts w:ascii="Century Gothic" w:hAnsi="Century Gothic" w:cs="Tahoma"/>
          <w:i/>
          <w:sz w:val="22"/>
          <w:szCs w:val="22"/>
          <w:lang w:val="es-ES_tradnl"/>
        </w:rPr>
        <w:t>.</w:t>
      </w:r>
    </w:p>
    <w:p w14:paraId="0C3CCBDA" w14:textId="77777777" w:rsidR="00D438D2" w:rsidRPr="00011BBD" w:rsidRDefault="00D438D2" w:rsidP="000D7564">
      <w:pPr>
        <w:pStyle w:val="Default"/>
        <w:jc w:val="both"/>
        <w:rPr>
          <w:rFonts w:ascii="Century Gothic" w:hAnsi="Century Gothic"/>
          <w:i/>
          <w:sz w:val="22"/>
          <w:szCs w:val="22"/>
        </w:rPr>
      </w:pPr>
    </w:p>
    <w:p w14:paraId="13652205" w14:textId="77777777" w:rsidR="00EC5B11" w:rsidRDefault="00EC5B11" w:rsidP="000D7564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29D6E529" w14:textId="4F584AEE" w:rsidR="00DD3093" w:rsidRDefault="00DD3093" w:rsidP="000D7564">
      <w:pPr>
        <w:spacing w:after="0" w:line="240" w:lineRule="auto"/>
        <w:jc w:val="both"/>
        <w:rPr>
          <w:rFonts w:ascii="Century Gothic" w:hAnsi="Century Gothic" w:cs="Tahoma"/>
          <w:lang w:val="es-ES_tradnl"/>
        </w:rPr>
      </w:pPr>
      <w:r w:rsidRPr="00DE7035">
        <w:rPr>
          <w:rFonts w:ascii="Century Gothic" w:hAnsi="Century Gothic" w:cs="Tahoma"/>
          <w:b/>
          <w:lang w:val="es-ES_tradnl"/>
        </w:rPr>
        <w:t>2.</w:t>
      </w:r>
      <w:r w:rsidRPr="00DE7035">
        <w:rPr>
          <w:rFonts w:ascii="Century Gothic" w:hAnsi="Century Gothic" w:cs="Tahoma"/>
          <w:lang w:val="es-ES_tradnl"/>
        </w:rPr>
        <w:t xml:space="preserve"> </w:t>
      </w:r>
      <w:r w:rsidR="008018EA">
        <w:rPr>
          <w:rFonts w:ascii="Century Gothic" w:hAnsi="Century Gothic" w:cs="Tahoma"/>
          <w:lang w:val="es-ES_tradnl"/>
        </w:rPr>
        <w:t>E</w:t>
      </w:r>
      <w:r w:rsidR="00B339C9">
        <w:rPr>
          <w:rFonts w:ascii="Century Gothic" w:hAnsi="Century Gothic" w:cs="Tahoma"/>
          <w:lang w:val="es-ES_tradnl"/>
        </w:rPr>
        <w:t xml:space="preserve">n </w:t>
      </w:r>
      <w:r w:rsidR="00AC03CC">
        <w:rPr>
          <w:rFonts w:ascii="Century Gothic" w:hAnsi="Century Gothic" w:cs="Tahoma"/>
          <w:lang w:val="es-ES_tradnl"/>
        </w:rPr>
        <w:t xml:space="preserve">fecha </w:t>
      </w:r>
      <w:r w:rsidR="00920B3D">
        <w:rPr>
          <w:rFonts w:ascii="Century Gothic" w:hAnsi="Century Gothic" w:cs="Tahoma"/>
          <w:lang w:val="es-ES_tradnl"/>
        </w:rPr>
        <w:t>diez</w:t>
      </w:r>
      <w:r w:rsidR="00AC03CC">
        <w:rPr>
          <w:rFonts w:ascii="Century Gothic" w:hAnsi="Century Gothic" w:cs="Tahoma"/>
          <w:lang w:val="es-ES_tradnl"/>
        </w:rPr>
        <w:t xml:space="preserve"> de</w:t>
      </w:r>
      <w:r w:rsidR="0070429A">
        <w:rPr>
          <w:rFonts w:ascii="Century Gothic" w:hAnsi="Century Gothic" w:cs="Tahoma"/>
          <w:lang w:val="es-ES_tradnl"/>
        </w:rPr>
        <w:t>l mismo mes y año</w:t>
      </w:r>
      <w:r w:rsidR="00C6288B">
        <w:rPr>
          <w:rFonts w:ascii="Century Gothic" w:hAnsi="Century Gothic" w:cs="Tahoma"/>
          <w:lang w:val="es-ES_tradnl"/>
        </w:rPr>
        <w:t>, los i</w:t>
      </w:r>
      <w:r w:rsidRPr="00DE7035">
        <w:rPr>
          <w:rFonts w:ascii="Century Gothic" w:hAnsi="Century Gothic" w:cs="Tahoma"/>
          <w:lang w:val="es-ES_tradnl"/>
        </w:rPr>
        <w:t xml:space="preserve">ntegrantes de la </w:t>
      </w:r>
      <w:r w:rsidR="0070429A">
        <w:rPr>
          <w:rFonts w:ascii="Century Gothic" w:hAnsi="Century Gothic" w:cs="Tahoma"/>
          <w:lang w:val="es-ES_tradnl"/>
        </w:rPr>
        <w:t xml:space="preserve">Mesa Directiva </w:t>
      </w:r>
      <w:r w:rsidRPr="00DE7035">
        <w:rPr>
          <w:rFonts w:ascii="Century Gothic" w:hAnsi="Century Gothic" w:cs="Tahoma"/>
          <w:lang w:val="es-ES_tradnl"/>
        </w:rPr>
        <w:t xml:space="preserve">dictaron el siguiente </w:t>
      </w:r>
      <w:r w:rsidR="008252BD" w:rsidRPr="00DE7035">
        <w:rPr>
          <w:rFonts w:ascii="Century Gothic" w:hAnsi="Century Gothic" w:cs="Tahoma"/>
          <w:lang w:val="es-ES_tradnl"/>
        </w:rPr>
        <w:t>Acuerdo</w:t>
      </w:r>
      <w:r w:rsidRPr="00DE7035">
        <w:rPr>
          <w:rFonts w:ascii="Century Gothic" w:hAnsi="Century Gothic" w:cs="Tahoma"/>
          <w:lang w:val="es-ES_tradnl"/>
        </w:rPr>
        <w:t xml:space="preserve">: </w:t>
      </w:r>
      <w:r w:rsidRPr="00DE7035">
        <w:rPr>
          <w:rFonts w:ascii="Century Gothic" w:hAnsi="Century Gothic" w:cs="Tahoma"/>
          <w:i/>
          <w:lang w:val="es-ES_tradnl"/>
        </w:rPr>
        <w:t>“Se turna a</w:t>
      </w:r>
      <w:r w:rsidR="00D438D2">
        <w:rPr>
          <w:rFonts w:ascii="Century Gothic" w:hAnsi="Century Gothic" w:cs="Tahoma"/>
          <w:i/>
          <w:lang w:val="es-ES_tradnl"/>
        </w:rPr>
        <w:t xml:space="preserve"> la</w:t>
      </w:r>
      <w:r w:rsidRPr="00DE7035">
        <w:rPr>
          <w:rFonts w:ascii="Century Gothic" w:hAnsi="Century Gothic" w:cs="Tahoma"/>
          <w:i/>
          <w:lang w:val="es-ES_tradnl"/>
        </w:rPr>
        <w:t xml:space="preserve"> </w:t>
      </w:r>
      <w:r w:rsidR="00D438D2" w:rsidRPr="00DE7035">
        <w:rPr>
          <w:rFonts w:ascii="Century Gothic" w:hAnsi="Century Gothic" w:cs="Tahoma"/>
          <w:i/>
          <w:lang w:val="es-ES_tradnl"/>
        </w:rPr>
        <w:t>Comisi</w:t>
      </w:r>
      <w:r w:rsidR="00D438D2">
        <w:rPr>
          <w:rFonts w:ascii="Century Gothic" w:hAnsi="Century Gothic" w:cs="Tahoma"/>
          <w:i/>
          <w:lang w:val="es-ES_tradnl"/>
        </w:rPr>
        <w:t xml:space="preserve">ón de </w:t>
      </w:r>
      <w:r w:rsidR="0070429A">
        <w:rPr>
          <w:rFonts w:ascii="Century Gothic" w:hAnsi="Century Gothic" w:cs="Tahoma"/>
          <w:i/>
          <w:lang w:val="es-ES_tradnl"/>
        </w:rPr>
        <w:t>Medio Ambiente</w:t>
      </w:r>
      <w:r w:rsidR="003B5CDE">
        <w:rPr>
          <w:rFonts w:ascii="Century Gothic" w:hAnsi="Century Gothic" w:cs="Tahoma"/>
          <w:i/>
          <w:lang w:val="es-ES_tradnl"/>
        </w:rPr>
        <w:t>,</w:t>
      </w:r>
      <w:r w:rsidR="00977B4B">
        <w:rPr>
          <w:rFonts w:ascii="Century Gothic" w:hAnsi="Century Gothic" w:cs="Tahoma"/>
          <w:i/>
          <w:lang w:val="es-ES_tradnl"/>
        </w:rPr>
        <w:t xml:space="preserve"> </w:t>
      </w:r>
      <w:r w:rsidR="0070429A">
        <w:rPr>
          <w:rFonts w:ascii="Century Gothic" w:hAnsi="Century Gothic" w:cs="Tahoma"/>
          <w:i/>
          <w:lang w:val="es-ES_tradnl"/>
        </w:rPr>
        <w:t xml:space="preserve">Recursos Naturales y Cambio Climático, </w:t>
      </w:r>
      <w:r w:rsidRPr="00DE7035">
        <w:rPr>
          <w:rFonts w:ascii="Century Gothic" w:hAnsi="Century Gothic" w:cs="Tahoma"/>
          <w:i/>
          <w:lang w:val="es-ES_tradnl"/>
        </w:rPr>
        <w:t>para su estudio y resolución procedente</w:t>
      </w:r>
      <w:r w:rsidRPr="00DE7035">
        <w:rPr>
          <w:rFonts w:ascii="Century Gothic" w:hAnsi="Century Gothic" w:cs="Tahoma"/>
          <w:lang w:val="es-ES_tradnl"/>
        </w:rPr>
        <w:t>”.</w:t>
      </w:r>
    </w:p>
    <w:p w14:paraId="7F2F5523" w14:textId="23CA1EB6" w:rsidR="00DD3093" w:rsidRPr="00DE7035" w:rsidRDefault="00DD3093" w:rsidP="000D75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</w:rPr>
      </w:pPr>
      <w:r w:rsidRPr="00DE7035">
        <w:rPr>
          <w:rFonts w:ascii="Century Gothic" w:hAnsi="Century Gothic" w:cs="Tahoma"/>
          <w:b/>
        </w:rPr>
        <w:lastRenderedPageBreak/>
        <w:t>CONTENIDO DEL</w:t>
      </w:r>
      <w:r w:rsidR="00D429EF">
        <w:rPr>
          <w:rFonts w:ascii="Century Gothic" w:hAnsi="Century Gothic" w:cs="Tahoma"/>
          <w:b/>
        </w:rPr>
        <w:t xml:space="preserve"> </w:t>
      </w:r>
      <w:r w:rsidR="00642404">
        <w:rPr>
          <w:rFonts w:ascii="Century Gothic" w:hAnsi="Century Gothic" w:cs="Tahoma"/>
          <w:b/>
        </w:rPr>
        <w:t>PUNTO DE ACUERDO</w:t>
      </w:r>
    </w:p>
    <w:p w14:paraId="55E215CD" w14:textId="77777777" w:rsidR="00DD3093" w:rsidRDefault="00DD3093" w:rsidP="000D75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</w:rPr>
      </w:pPr>
    </w:p>
    <w:p w14:paraId="5F31FF53" w14:textId="50309F14" w:rsidR="00ED48B0" w:rsidRPr="00ED48B0" w:rsidRDefault="00920B3D" w:rsidP="00ED48B0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ED48B0">
        <w:rPr>
          <w:rFonts w:ascii="Century Gothic" w:eastAsia="Calibri" w:hAnsi="Century Gothic" w:cs="Tahoma"/>
          <w:sz w:val="22"/>
          <w:szCs w:val="22"/>
        </w:rPr>
        <w:t xml:space="preserve">Solicitar al Gobierno del Estado de Puebla que impulse ante las instancias correspondientes </w:t>
      </w:r>
      <w:r w:rsidR="00113C6F">
        <w:rPr>
          <w:rFonts w:ascii="Century Gothic" w:eastAsia="Calibri" w:hAnsi="Century Gothic" w:cs="Tahoma"/>
          <w:sz w:val="22"/>
          <w:szCs w:val="22"/>
        </w:rPr>
        <w:t xml:space="preserve">del Gobierno Federal </w:t>
      </w:r>
      <w:r w:rsidRPr="00ED48B0">
        <w:rPr>
          <w:rFonts w:ascii="Century Gothic" w:eastAsia="Calibri" w:hAnsi="Century Gothic" w:cs="Tahoma"/>
          <w:sz w:val="22"/>
          <w:szCs w:val="22"/>
        </w:rPr>
        <w:t xml:space="preserve">que la región </w:t>
      </w:r>
      <w:proofErr w:type="spellStart"/>
      <w:r w:rsidRPr="00ED48B0">
        <w:rPr>
          <w:rFonts w:ascii="Century Gothic" w:eastAsia="Calibri" w:hAnsi="Century Gothic" w:cs="Tahoma"/>
          <w:sz w:val="22"/>
          <w:szCs w:val="22"/>
        </w:rPr>
        <w:t>Iztazihuatl-Popocatepetl</w:t>
      </w:r>
      <w:proofErr w:type="spellEnd"/>
      <w:r w:rsidRPr="00ED48B0">
        <w:rPr>
          <w:rFonts w:ascii="Century Gothic" w:eastAsia="Calibri" w:hAnsi="Century Gothic" w:cs="Tahoma"/>
          <w:sz w:val="22"/>
          <w:szCs w:val="22"/>
        </w:rPr>
        <w:t xml:space="preserve"> sea declarada </w:t>
      </w:r>
      <w:r w:rsidR="00ED48B0" w:rsidRPr="00ED48B0">
        <w:rPr>
          <w:rFonts w:ascii="Century Gothic" w:eastAsia="Calibri" w:hAnsi="Century Gothic" w:cs="Tahoma"/>
          <w:sz w:val="22"/>
          <w:szCs w:val="22"/>
        </w:rPr>
        <w:t>Patrimonio Natural de la Humanidad</w:t>
      </w:r>
      <w:r w:rsidR="00113C6F">
        <w:rPr>
          <w:rFonts w:ascii="Century Gothic" w:eastAsia="Calibri" w:hAnsi="Century Gothic" w:cs="Tahoma"/>
          <w:sz w:val="22"/>
          <w:szCs w:val="22"/>
        </w:rPr>
        <w:t xml:space="preserve"> por la UNESCO</w:t>
      </w:r>
      <w:r w:rsidR="00ED48B0" w:rsidRPr="00ED48B0">
        <w:rPr>
          <w:rFonts w:ascii="Century Gothic" w:eastAsia="Calibri" w:hAnsi="Century Gothic" w:cs="Tahoma"/>
          <w:sz w:val="22"/>
          <w:szCs w:val="22"/>
        </w:rPr>
        <w:t xml:space="preserve">; </w:t>
      </w:r>
      <w:bookmarkStart w:id="5" w:name="_Hlk535496511"/>
      <w:r w:rsidR="00AC5532">
        <w:rPr>
          <w:rFonts w:ascii="Century Gothic" w:eastAsia="Calibri" w:hAnsi="Century Gothic" w:cs="Tahoma"/>
          <w:sz w:val="22"/>
          <w:szCs w:val="22"/>
        </w:rPr>
        <w:t xml:space="preserve">para lo cual </w:t>
      </w:r>
      <w:r w:rsidR="0079016E">
        <w:rPr>
          <w:rFonts w:ascii="Century Gothic" w:eastAsia="Calibri" w:hAnsi="Century Gothic" w:cs="Tahoma"/>
          <w:sz w:val="22"/>
          <w:szCs w:val="22"/>
        </w:rPr>
        <w:t xml:space="preserve">destine </w:t>
      </w:r>
      <w:r w:rsidR="00AA54A9">
        <w:rPr>
          <w:rFonts w:ascii="Century Gothic" w:eastAsia="Calibri" w:hAnsi="Century Gothic" w:cs="Tahoma"/>
          <w:sz w:val="22"/>
          <w:szCs w:val="22"/>
        </w:rPr>
        <w:t xml:space="preserve">el </w:t>
      </w:r>
      <w:r w:rsidR="0079016E">
        <w:rPr>
          <w:rFonts w:ascii="Century Gothic" w:eastAsia="Calibri" w:hAnsi="Century Gothic" w:cs="Tahoma"/>
          <w:sz w:val="22"/>
          <w:szCs w:val="22"/>
        </w:rPr>
        <w:t>recurso</w:t>
      </w:r>
      <w:r w:rsidR="00AA54A9">
        <w:rPr>
          <w:rFonts w:ascii="Century Gothic" w:eastAsia="Calibri" w:hAnsi="Century Gothic" w:cs="Tahoma"/>
          <w:sz w:val="22"/>
          <w:szCs w:val="22"/>
        </w:rPr>
        <w:t xml:space="preserve"> económico</w:t>
      </w:r>
      <w:r w:rsidR="0079016E">
        <w:rPr>
          <w:rFonts w:ascii="Century Gothic" w:eastAsia="Calibri" w:hAnsi="Century Gothic" w:cs="Tahoma"/>
          <w:sz w:val="22"/>
          <w:szCs w:val="22"/>
        </w:rPr>
        <w:t xml:space="preserve"> para la elaboración del diagnóstico que para tal efecto es necesario</w:t>
      </w:r>
      <w:r w:rsidR="00ED48B0" w:rsidRPr="00ED48B0">
        <w:rPr>
          <w:rFonts w:ascii="Century Gothic" w:eastAsia="Calibri" w:hAnsi="Century Gothic" w:cs="Tahoma"/>
          <w:sz w:val="22"/>
          <w:szCs w:val="22"/>
        </w:rPr>
        <w:t xml:space="preserve"> </w:t>
      </w:r>
      <w:r w:rsidR="00113C6F">
        <w:rPr>
          <w:rFonts w:ascii="Century Gothic" w:eastAsia="Calibri" w:hAnsi="Century Gothic" w:cs="Tahoma"/>
          <w:sz w:val="22"/>
          <w:szCs w:val="22"/>
        </w:rPr>
        <w:t>para ubicarlo en un Expediente de Candidatura ante esa Instancia Internacional</w:t>
      </w:r>
      <w:bookmarkEnd w:id="5"/>
      <w:r w:rsidR="0079016E">
        <w:rPr>
          <w:rFonts w:ascii="Century Gothic" w:eastAsia="Calibri" w:hAnsi="Century Gothic" w:cs="Tahoma"/>
          <w:sz w:val="22"/>
          <w:szCs w:val="22"/>
        </w:rPr>
        <w:t>.</w:t>
      </w:r>
      <w:r w:rsidR="00ED48B0">
        <w:rPr>
          <w:rFonts w:ascii="Century Gothic" w:eastAsia="Calibri" w:hAnsi="Century Gothic" w:cs="Tahoma"/>
          <w:sz w:val="22"/>
          <w:szCs w:val="22"/>
        </w:rPr>
        <w:t xml:space="preserve"> </w:t>
      </w:r>
    </w:p>
    <w:p w14:paraId="0432DB68" w14:textId="2E17DE2E" w:rsidR="00ED48B0" w:rsidRDefault="00ED48B0" w:rsidP="00ED48B0">
      <w:pPr>
        <w:pStyle w:val="Default"/>
        <w:jc w:val="both"/>
        <w:rPr>
          <w:rFonts w:ascii="Century Gothic" w:eastAsia="Calibri" w:hAnsi="Century Gothic" w:cs="Tahoma"/>
          <w:sz w:val="22"/>
          <w:szCs w:val="22"/>
        </w:rPr>
      </w:pPr>
    </w:p>
    <w:p w14:paraId="64B3436E" w14:textId="77777777" w:rsidR="00ED48B0" w:rsidRPr="00ED48B0" w:rsidRDefault="00ED48B0" w:rsidP="00ED48B0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34D657D1" w14:textId="71033A4C" w:rsidR="00DD3093" w:rsidRPr="00DE7035" w:rsidRDefault="00DD3093" w:rsidP="000D7564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E7035">
        <w:rPr>
          <w:rFonts w:ascii="Century Gothic" w:hAnsi="Century Gothic" w:cs="Arial"/>
          <w:b/>
        </w:rPr>
        <w:t>CONSIDERACION</w:t>
      </w:r>
      <w:r w:rsidR="00D429EF">
        <w:rPr>
          <w:rFonts w:ascii="Century Gothic" w:hAnsi="Century Gothic" w:cs="Arial"/>
          <w:b/>
        </w:rPr>
        <w:t>ES</w:t>
      </w:r>
      <w:r w:rsidRPr="00DE7035">
        <w:rPr>
          <w:rFonts w:ascii="Century Gothic" w:hAnsi="Century Gothic" w:cs="Arial"/>
          <w:b/>
        </w:rPr>
        <w:t xml:space="preserve"> DE LA COMISI</w:t>
      </w:r>
      <w:r w:rsidR="00092F4D">
        <w:rPr>
          <w:rFonts w:ascii="Century Gothic" w:hAnsi="Century Gothic" w:cs="Arial"/>
          <w:b/>
        </w:rPr>
        <w:t>Ó</w:t>
      </w:r>
      <w:r w:rsidR="0090560A">
        <w:rPr>
          <w:rFonts w:ascii="Century Gothic" w:hAnsi="Century Gothic" w:cs="Arial"/>
          <w:b/>
        </w:rPr>
        <w:t>N</w:t>
      </w:r>
    </w:p>
    <w:p w14:paraId="1DF3AD11" w14:textId="77777777" w:rsidR="009211D4" w:rsidRDefault="009211D4" w:rsidP="009211D4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28432B3C" w14:textId="77777777" w:rsidR="00EC5B11" w:rsidRPr="009211D4" w:rsidRDefault="00EC5B11" w:rsidP="009211D4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4942E27B" w14:textId="3C4C7DFE" w:rsidR="00E506D3" w:rsidRDefault="00E506D3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  <w:r>
        <w:rPr>
          <w:rFonts w:ascii="Century Gothic" w:eastAsia="Times New Roman" w:hAnsi="Century Gothic"/>
          <w:bCs/>
          <w:lang w:eastAsia="es-MX"/>
        </w:rPr>
        <w:t xml:space="preserve">Que </w:t>
      </w:r>
      <w:r w:rsidR="00ED48B0">
        <w:rPr>
          <w:rFonts w:ascii="Century Gothic" w:eastAsia="Times New Roman" w:hAnsi="Century Gothic"/>
          <w:bCs/>
          <w:lang w:eastAsia="es-MX"/>
        </w:rPr>
        <w:t xml:space="preserve">la Región </w:t>
      </w:r>
      <w:proofErr w:type="spellStart"/>
      <w:r w:rsidR="00ED48B0">
        <w:rPr>
          <w:rFonts w:ascii="Century Gothic" w:eastAsia="Times New Roman" w:hAnsi="Century Gothic"/>
          <w:bCs/>
          <w:lang w:eastAsia="es-MX"/>
        </w:rPr>
        <w:t>Izta</w:t>
      </w:r>
      <w:proofErr w:type="spellEnd"/>
      <w:r w:rsidR="00ED48B0">
        <w:rPr>
          <w:rFonts w:ascii="Century Gothic" w:eastAsia="Times New Roman" w:hAnsi="Century Gothic"/>
          <w:bCs/>
          <w:lang w:eastAsia="es-MX"/>
        </w:rPr>
        <w:t xml:space="preserve">-Popo </w:t>
      </w:r>
      <w:r w:rsidR="00113C6F">
        <w:rPr>
          <w:rFonts w:ascii="Century Gothic" w:eastAsia="Times New Roman" w:hAnsi="Century Gothic"/>
          <w:bCs/>
          <w:lang w:eastAsia="es-MX"/>
        </w:rPr>
        <w:t>está</w:t>
      </w:r>
      <w:r w:rsidR="00ED48B0">
        <w:rPr>
          <w:rFonts w:ascii="Century Gothic" w:eastAsia="Times New Roman" w:hAnsi="Century Gothic"/>
          <w:bCs/>
          <w:lang w:eastAsia="es-MX"/>
        </w:rPr>
        <w:t xml:space="preserve"> </w:t>
      </w:r>
      <w:r w:rsidR="00005710">
        <w:rPr>
          <w:rFonts w:ascii="Century Gothic" w:eastAsia="Times New Roman" w:hAnsi="Century Gothic"/>
          <w:bCs/>
          <w:lang w:eastAsia="es-MX"/>
        </w:rPr>
        <w:t>integrada</w:t>
      </w:r>
      <w:r w:rsidR="00ED48B0">
        <w:rPr>
          <w:rFonts w:ascii="Century Gothic" w:eastAsia="Times New Roman" w:hAnsi="Century Gothic"/>
          <w:bCs/>
          <w:lang w:eastAsia="es-MX"/>
        </w:rPr>
        <w:t xml:space="preserve"> por 18 municipios de los Estados de Puebla (11), México (6) y Morelos (1). La integran 464 comunidades con alrededor de un millón de habitantes.</w:t>
      </w:r>
    </w:p>
    <w:p w14:paraId="213D6151" w14:textId="77777777" w:rsidR="00E506D3" w:rsidRDefault="00E506D3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1B7C3D2D" w14:textId="39DA5658" w:rsidR="00E506D3" w:rsidRPr="00E506D3" w:rsidRDefault="00E506D3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  <w:r>
        <w:rPr>
          <w:rFonts w:ascii="Century Gothic" w:eastAsia="Times New Roman" w:hAnsi="Century Gothic"/>
          <w:bCs/>
          <w:lang w:eastAsia="es-MX"/>
        </w:rPr>
        <w:t xml:space="preserve">Que </w:t>
      </w:r>
      <w:r w:rsidR="00ED48B0">
        <w:rPr>
          <w:rFonts w:ascii="Century Gothic" w:eastAsia="Times New Roman" w:hAnsi="Century Gothic"/>
          <w:bCs/>
          <w:lang w:eastAsia="es-MX"/>
        </w:rPr>
        <w:t xml:space="preserve">la Región </w:t>
      </w:r>
      <w:proofErr w:type="spellStart"/>
      <w:r w:rsidR="00ED48B0">
        <w:rPr>
          <w:rFonts w:ascii="Century Gothic" w:eastAsia="Times New Roman" w:hAnsi="Century Gothic"/>
          <w:bCs/>
          <w:lang w:eastAsia="es-MX"/>
        </w:rPr>
        <w:t>Izta</w:t>
      </w:r>
      <w:proofErr w:type="spellEnd"/>
      <w:r w:rsidR="00ED48B0">
        <w:rPr>
          <w:rFonts w:ascii="Century Gothic" w:eastAsia="Times New Roman" w:hAnsi="Century Gothic"/>
          <w:bCs/>
          <w:lang w:eastAsia="es-MX"/>
        </w:rPr>
        <w:t xml:space="preserve">-Popo cuenta con 112 predios forestales en una superficie de 63,855 </w:t>
      </w:r>
      <w:r w:rsidR="0079016E">
        <w:rPr>
          <w:rFonts w:ascii="Century Gothic" w:eastAsia="Times New Roman" w:hAnsi="Century Gothic"/>
          <w:bCs/>
          <w:lang w:eastAsia="es-MX"/>
        </w:rPr>
        <w:t>Hectáreas (</w:t>
      </w:r>
      <w:r w:rsidR="00ED48B0">
        <w:rPr>
          <w:rFonts w:ascii="Century Gothic" w:eastAsia="Times New Roman" w:hAnsi="Century Gothic"/>
          <w:bCs/>
          <w:lang w:eastAsia="es-MX"/>
        </w:rPr>
        <w:t>Has</w:t>
      </w:r>
      <w:r w:rsidR="0079016E">
        <w:rPr>
          <w:rFonts w:ascii="Century Gothic" w:eastAsia="Times New Roman" w:hAnsi="Century Gothic"/>
          <w:bCs/>
          <w:lang w:eastAsia="es-MX"/>
        </w:rPr>
        <w:t>)</w:t>
      </w:r>
      <w:r w:rsidR="00ED48B0">
        <w:rPr>
          <w:rFonts w:ascii="Century Gothic" w:eastAsia="Times New Roman" w:hAnsi="Century Gothic"/>
          <w:bCs/>
          <w:lang w:eastAsia="es-MX"/>
        </w:rPr>
        <w:t xml:space="preserve"> con diferentes especies forestales, 100,000 </w:t>
      </w:r>
      <w:r w:rsidR="0079016E">
        <w:rPr>
          <w:rFonts w:ascii="Century Gothic" w:eastAsia="Times New Roman" w:hAnsi="Century Gothic"/>
          <w:bCs/>
          <w:lang w:eastAsia="es-MX"/>
        </w:rPr>
        <w:t>Hectáreas (</w:t>
      </w:r>
      <w:r w:rsidR="00ED48B0">
        <w:rPr>
          <w:rFonts w:ascii="Century Gothic" w:eastAsia="Times New Roman" w:hAnsi="Century Gothic"/>
          <w:bCs/>
          <w:lang w:eastAsia="es-MX"/>
        </w:rPr>
        <w:t>Has</w:t>
      </w:r>
      <w:r w:rsidR="0079016E">
        <w:rPr>
          <w:rFonts w:ascii="Century Gothic" w:eastAsia="Times New Roman" w:hAnsi="Century Gothic"/>
          <w:bCs/>
          <w:lang w:eastAsia="es-MX"/>
        </w:rPr>
        <w:t>)</w:t>
      </w:r>
      <w:r w:rsidR="001641BD">
        <w:rPr>
          <w:rFonts w:ascii="Century Gothic" w:eastAsia="Times New Roman" w:hAnsi="Century Gothic"/>
          <w:bCs/>
          <w:lang w:eastAsia="es-MX"/>
        </w:rPr>
        <w:t xml:space="preserve"> de uso agrícola y 101,395 de otros usos, haciendo una superficie total de 265,250 </w:t>
      </w:r>
      <w:r w:rsidR="0079016E">
        <w:rPr>
          <w:rFonts w:ascii="Century Gothic" w:eastAsia="Times New Roman" w:hAnsi="Century Gothic"/>
          <w:bCs/>
          <w:lang w:eastAsia="es-MX"/>
        </w:rPr>
        <w:t>Hectáreas (</w:t>
      </w:r>
      <w:r w:rsidR="001641BD">
        <w:rPr>
          <w:rFonts w:ascii="Century Gothic" w:eastAsia="Times New Roman" w:hAnsi="Century Gothic"/>
          <w:bCs/>
          <w:lang w:eastAsia="es-MX"/>
        </w:rPr>
        <w:t>Has</w:t>
      </w:r>
      <w:r w:rsidR="0079016E">
        <w:rPr>
          <w:rFonts w:ascii="Century Gothic" w:eastAsia="Times New Roman" w:hAnsi="Century Gothic"/>
          <w:bCs/>
          <w:lang w:eastAsia="es-MX"/>
        </w:rPr>
        <w:t>)</w:t>
      </w:r>
      <w:r w:rsidR="001641BD">
        <w:rPr>
          <w:rFonts w:ascii="Century Gothic" w:eastAsia="Times New Roman" w:hAnsi="Century Gothic"/>
          <w:bCs/>
          <w:lang w:eastAsia="es-MX"/>
        </w:rPr>
        <w:t>.</w:t>
      </w:r>
    </w:p>
    <w:p w14:paraId="0843B919" w14:textId="77777777" w:rsidR="00E506D3" w:rsidRPr="00E506D3" w:rsidRDefault="00E506D3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088A8A88" w14:textId="66969C14" w:rsidR="001641BD" w:rsidRDefault="00E506D3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  <w:r>
        <w:rPr>
          <w:rFonts w:ascii="Century Gothic" w:eastAsia="Times New Roman" w:hAnsi="Century Gothic"/>
          <w:bCs/>
          <w:lang w:eastAsia="es-MX"/>
        </w:rPr>
        <w:t xml:space="preserve">Que </w:t>
      </w:r>
      <w:r w:rsidR="001641BD">
        <w:rPr>
          <w:rFonts w:ascii="Century Gothic" w:eastAsia="Times New Roman" w:hAnsi="Century Gothic"/>
          <w:bCs/>
          <w:lang w:eastAsia="es-MX"/>
        </w:rPr>
        <w:t xml:space="preserve">la Región </w:t>
      </w:r>
      <w:proofErr w:type="spellStart"/>
      <w:r w:rsidR="001641BD">
        <w:rPr>
          <w:rFonts w:ascii="Century Gothic" w:eastAsia="Times New Roman" w:hAnsi="Century Gothic"/>
          <w:bCs/>
          <w:lang w:eastAsia="es-MX"/>
        </w:rPr>
        <w:t>Izta</w:t>
      </w:r>
      <w:proofErr w:type="spellEnd"/>
      <w:r w:rsidR="001641BD">
        <w:rPr>
          <w:rFonts w:ascii="Century Gothic" w:eastAsia="Times New Roman" w:hAnsi="Century Gothic"/>
          <w:bCs/>
          <w:lang w:eastAsia="es-MX"/>
        </w:rPr>
        <w:t xml:space="preserve">-Popo posee una formación geológica que ha originado dos de las montañas más importantes del país: el </w:t>
      </w:r>
      <w:proofErr w:type="spellStart"/>
      <w:r w:rsidR="001641BD">
        <w:rPr>
          <w:rFonts w:ascii="Century Gothic" w:eastAsia="Times New Roman" w:hAnsi="Century Gothic"/>
          <w:bCs/>
          <w:lang w:eastAsia="es-MX"/>
        </w:rPr>
        <w:t>Popocatepetl</w:t>
      </w:r>
      <w:proofErr w:type="spellEnd"/>
      <w:r w:rsidR="001641BD">
        <w:rPr>
          <w:rFonts w:ascii="Century Gothic" w:eastAsia="Times New Roman" w:hAnsi="Century Gothic"/>
          <w:bCs/>
          <w:lang w:eastAsia="es-MX"/>
        </w:rPr>
        <w:t xml:space="preserve"> y el </w:t>
      </w:r>
      <w:proofErr w:type="spellStart"/>
      <w:r w:rsidR="001641BD">
        <w:rPr>
          <w:rFonts w:ascii="Century Gothic" w:eastAsia="Times New Roman" w:hAnsi="Century Gothic"/>
          <w:bCs/>
          <w:lang w:eastAsia="es-MX"/>
        </w:rPr>
        <w:t>Iztacihuatl</w:t>
      </w:r>
      <w:proofErr w:type="spellEnd"/>
      <w:r w:rsidR="001641BD">
        <w:rPr>
          <w:rFonts w:ascii="Century Gothic" w:eastAsia="Times New Roman" w:hAnsi="Century Gothic"/>
          <w:bCs/>
          <w:lang w:eastAsia="es-MX"/>
        </w:rPr>
        <w:t xml:space="preserve">, que han permitido la evolución de diferentes especies de animales y vegetales, que hoy están en peligro de extinción ante el deterioro causado fundamentalmente por la irracionalidad y perversidad humanas. </w:t>
      </w:r>
    </w:p>
    <w:p w14:paraId="527A0646" w14:textId="77777777" w:rsidR="001641BD" w:rsidRDefault="001641BD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04CBABA5" w14:textId="73422B90" w:rsidR="00E506D3" w:rsidRDefault="00E506D3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  <w:r>
        <w:rPr>
          <w:rFonts w:ascii="Century Gothic" w:eastAsia="Times New Roman" w:hAnsi="Century Gothic"/>
          <w:bCs/>
          <w:lang w:eastAsia="es-MX"/>
        </w:rPr>
        <w:t xml:space="preserve">Que </w:t>
      </w:r>
      <w:r w:rsidR="001641BD">
        <w:rPr>
          <w:rFonts w:ascii="Century Gothic" w:eastAsia="Times New Roman" w:hAnsi="Century Gothic"/>
          <w:bCs/>
          <w:lang w:eastAsia="es-MX"/>
        </w:rPr>
        <w:t>los factores del deterioro ecológico provocado por incendios forestales, tala clandestina, sobrepastoreo, apertura de tierras forestales a la agricultura y la ganadería y cacería furtiva, entre otros, no han podido detenerse a pesar de los esfue</w:t>
      </w:r>
      <w:r w:rsidR="00005710">
        <w:rPr>
          <w:rFonts w:ascii="Century Gothic" w:eastAsia="Times New Roman" w:hAnsi="Century Gothic"/>
          <w:bCs/>
          <w:lang w:eastAsia="es-MX"/>
        </w:rPr>
        <w:t xml:space="preserve">rzos </w:t>
      </w:r>
      <w:r w:rsidR="001641BD">
        <w:rPr>
          <w:rFonts w:ascii="Century Gothic" w:eastAsia="Times New Roman" w:hAnsi="Century Gothic"/>
          <w:bCs/>
          <w:lang w:eastAsia="es-MX"/>
        </w:rPr>
        <w:t>del gobierno, de las sociedades y las comunidades rurales.</w:t>
      </w:r>
    </w:p>
    <w:p w14:paraId="29CF23AE" w14:textId="0A989D9C" w:rsidR="00CE7EA9" w:rsidRDefault="00CE7EA9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1BE32385" w14:textId="32D8E6FA" w:rsidR="00CE7EA9" w:rsidRDefault="00CE7EA9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  <w:r>
        <w:rPr>
          <w:rFonts w:ascii="Century Gothic" w:eastAsia="Times New Roman" w:hAnsi="Century Gothic"/>
          <w:bCs/>
          <w:lang w:eastAsia="es-MX"/>
        </w:rPr>
        <w:t xml:space="preserve">Que la Región </w:t>
      </w:r>
      <w:proofErr w:type="spellStart"/>
      <w:r>
        <w:rPr>
          <w:rFonts w:ascii="Century Gothic" w:eastAsia="Times New Roman" w:hAnsi="Century Gothic"/>
          <w:bCs/>
          <w:lang w:eastAsia="es-MX"/>
        </w:rPr>
        <w:t>Izta</w:t>
      </w:r>
      <w:proofErr w:type="spellEnd"/>
      <w:r>
        <w:rPr>
          <w:rFonts w:ascii="Century Gothic" w:eastAsia="Times New Roman" w:hAnsi="Century Gothic"/>
          <w:bCs/>
          <w:lang w:eastAsia="es-MX"/>
        </w:rPr>
        <w:t>-Popo es muy importante por la captación de agua, la purificación del aire, la obtención de satisfactores y el esparcimiento para los amantes de</w:t>
      </w:r>
      <w:r w:rsidR="00005710">
        <w:rPr>
          <w:rFonts w:ascii="Century Gothic" w:eastAsia="Times New Roman" w:hAnsi="Century Gothic"/>
          <w:bCs/>
          <w:lang w:eastAsia="es-MX"/>
        </w:rPr>
        <w:t xml:space="preserve"> </w:t>
      </w:r>
      <w:r>
        <w:rPr>
          <w:rFonts w:ascii="Century Gothic" w:eastAsia="Times New Roman" w:hAnsi="Century Gothic"/>
          <w:bCs/>
          <w:lang w:eastAsia="es-MX"/>
        </w:rPr>
        <w:t>la naturaleza.</w:t>
      </w:r>
    </w:p>
    <w:p w14:paraId="4621C3FC" w14:textId="1868791C" w:rsidR="009864EA" w:rsidRDefault="009864EA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7AFAE37C" w14:textId="084B9330" w:rsidR="009864EA" w:rsidRPr="00E506D3" w:rsidRDefault="009864EA" w:rsidP="00E506D3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  <w:r>
        <w:rPr>
          <w:rFonts w:ascii="Century Gothic" w:eastAsia="Times New Roman" w:hAnsi="Century Gothic"/>
          <w:bCs/>
          <w:lang w:eastAsia="es-MX"/>
        </w:rPr>
        <w:t xml:space="preserve">Que con fecha </w:t>
      </w:r>
      <w:r w:rsidR="00AA54A9">
        <w:rPr>
          <w:rFonts w:ascii="Century Gothic" w:eastAsia="Times New Roman" w:hAnsi="Century Gothic"/>
          <w:bCs/>
          <w:lang w:eastAsia="es-MX"/>
        </w:rPr>
        <w:t>treinta y uno</w:t>
      </w:r>
      <w:r>
        <w:rPr>
          <w:rFonts w:ascii="Century Gothic" w:eastAsia="Times New Roman" w:hAnsi="Century Gothic"/>
          <w:bCs/>
          <w:lang w:eastAsia="es-MX"/>
        </w:rPr>
        <w:t xml:space="preserve"> de agosto de</w:t>
      </w:r>
      <w:r w:rsidR="00AA54A9">
        <w:rPr>
          <w:rFonts w:ascii="Century Gothic" w:eastAsia="Times New Roman" w:hAnsi="Century Gothic"/>
          <w:bCs/>
          <w:lang w:eastAsia="es-MX"/>
        </w:rPr>
        <w:t xml:space="preserve"> dos mil dieciocho,</w:t>
      </w:r>
      <w:r>
        <w:rPr>
          <w:rFonts w:ascii="Century Gothic" w:eastAsia="Times New Roman" w:hAnsi="Century Gothic"/>
          <w:bCs/>
          <w:lang w:eastAsia="es-MX"/>
        </w:rPr>
        <w:t xml:space="preserve"> fue publicado en el </w:t>
      </w:r>
      <w:r w:rsidR="00AA54A9">
        <w:rPr>
          <w:rFonts w:ascii="Century Gothic" w:eastAsia="Times New Roman" w:hAnsi="Century Gothic"/>
          <w:bCs/>
          <w:lang w:eastAsia="es-MX"/>
        </w:rPr>
        <w:t>Periódico</w:t>
      </w:r>
      <w:r>
        <w:rPr>
          <w:rFonts w:ascii="Century Gothic" w:eastAsia="Times New Roman" w:hAnsi="Century Gothic"/>
          <w:bCs/>
          <w:lang w:eastAsia="es-MX"/>
        </w:rPr>
        <w:t xml:space="preserve"> Oficial del Estado</w:t>
      </w:r>
      <w:r w:rsidR="00AA54A9">
        <w:rPr>
          <w:rFonts w:ascii="Century Gothic" w:eastAsia="Times New Roman" w:hAnsi="Century Gothic"/>
          <w:bCs/>
          <w:lang w:eastAsia="es-MX"/>
        </w:rPr>
        <w:t xml:space="preserve"> el Decreto del Honorable Congreso del Estado, por el que </w:t>
      </w:r>
      <w:r w:rsidR="00AA54A9">
        <w:rPr>
          <w:rFonts w:ascii="Century Gothic" w:eastAsia="Times New Roman" w:hAnsi="Century Gothic"/>
          <w:bCs/>
          <w:lang w:eastAsia="es-MX"/>
        </w:rPr>
        <w:lastRenderedPageBreak/>
        <w:t>reforma y deroga diversas disposiciones de la Ley orgánica de la Administración Pública del Estado de Puebla, mismo que entró en vigor a partir del día diecisiete de diciembre de dos mil dieciocho.</w:t>
      </w:r>
    </w:p>
    <w:p w14:paraId="4906936C" w14:textId="77777777" w:rsidR="00EC5B11" w:rsidRDefault="00EC5B11" w:rsidP="00092F4D">
      <w:pPr>
        <w:spacing w:after="0" w:line="240" w:lineRule="auto"/>
        <w:jc w:val="both"/>
        <w:rPr>
          <w:rFonts w:ascii="Century Gothic" w:eastAsia="Times New Roman" w:hAnsi="Century Gothic"/>
          <w:bCs/>
          <w:lang w:eastAsia="es-MX"/>
        </w:rPr>
      </w:pPr>
    </w:p>
    <w:p w14:paraId="1C52831C" w14:textId="565A5487" w:rsidR="00C87954" w:rsidRDefault="00C87954" w:rsidP="000D7564">
      <w:pPr>
        <w:pStyle w:val="xmsonormal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ES"/>
        </w:rPr>
      </w:pPr>
      <w:r w:rsidRPr="00DE7035">
        <w:rPr>
          <w:rFonts w:ascii="Century Gothic" w:hAnsi="Century Gothic"/>
          <w:sz w:val="22"/>
          <w:szCs w:val="22"/>
          <w:lang w:val="es-ES"/>
        </w:rPr>
        <w:t>Visto lo cual y en mérito de lo expuesto, los integrantes de la</w:t>
      </w:r>
      <w:r w:rsidR="006A2AC1">
        <w:rPr>
          <w:rFonts w:ascii="Century Gothic" w:hAnsi="Century Gothic"/>
          <w:sz w:val="22"/>
          <w:szCs w:val="22"/>
          <w:lang w:val="es-ES"/>
        </w:rPr>
        <w:t xml:space="preserve"> Comisión de </w:t>
      </w:r>
      <w:r w:rsidR="00E506D3">
        <w:rPr>
          <w:rFonts w:ascii="Century Gothic" w:hAnsi="Century Gothic"/>
          <w:sz w:val="22"/>
          <w:szCs w:val="22"/>
          <w:lang w:val="es-ES"/>
        </w:rPr>
        <w:t>Medio Ambiente, Recursos Naturales y Cambio Climático</w:t>
      </w:r>
      <w:r w:rsidRPr="00082809">
        <w:rPr>
          <w:rFonts w:ascii="Century Gothic" w:hAnsi="Century Gothic"/>
          <w:sz w:val="22"/>
          <w:szCs w:val="22"/>
          <w:lang w:val="es-ES"/>
        </w:rPr>
        <w:t>,</w:t>
      </w:r>
      <w:r w:rsidRPr="00DE7035">
        <w:rPr>
          <w:rFonts w:ascii="Century Gothic" w:hAnsi="Century Gothic"/>
          <w:sz w:val="22"/>
          <w:szCs w:val="22"/>
          <w:lang w:val="es-ES"/>
        </w:rPr>
        <w:t xml:space="preserve"> posterior al estudio y análisis correspondiente tenemos a bien</w:t>
      </w:r>
      <w:r w:rsidR="00AD6545">
        <w:rPr>
          <w:rFonts w:ascii="Century Gothic" w:hAnsi="Century Gothic"/>
          <w:sz w:val="22"/>
          <w:szCs w:val="22"/>
          <w:lang w:val="es-ES"/>
        </w:rPr>
        <w:t xml:space="preserve"> considerar lo siguiente</w:t>
      </w:r>
      <w:r w:rsidRPr="00DE7035">
        <w:rPr>
          <w:rFonts w:ascii="Century Gothic" w:hAnsi="Century Gothic"/>
          <w:sz w:val="22"/>
          <w:szCs w:val="22"/>
          <w:lang w:val="es-ES"/>
        </w:rPr>
        <w:t>:</w:t>
      </w:r>
    </w:p>
    <w:p w14:paraId="16658E7E" w14:textId="77777777" w:rsidR="00AA54A9" w:rsidRPr="00DE7035" w:rsidRDefault="00AA54A9" w:rsidP="000D7564">
      <w:pPr>
        <w:pStyle w:val="xmsonormal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ES"/>
        </w:rPr>
      </w:pPr>
    </w:p>
    <w:p w14:paraId="522F22EF" w14:textId="465D547F" w:rsidR="003C46D7" w:rsidRDefault="00C87954" w:rsidP="000D7564">
      <w:pPr>
        <w:spacing w:after="0" w:line="240" w:lineRule="auto"/>
        <w:jc w:val="both"/>
        <w:rPr>
          <w:rFonts w:ascii="Century Gothic" w:eastAsia="Tahoma" w:hAnsi="Century Gothic" w:cs="Tahoma"/>
        </w:rPr>
      </w:pPr>
      <w:r w:rsidRPr="00DE7035">
        <w:rPr>
          <w:rFonts w:ascii="Century Gothic" w:hAnsi="Century Gothic"/>
          <w:b/>
          <w:bCs/>
          <w:lang w:val="es-ES"/>
        </w:rPr>
        <w:t>ÚNICO</w:t>
      </w:r>
      <w:r w:rsidR="00422D0B">
        <w:rPr>
          <w:rFonts w:ascii="Century Gothic" w:hAnsi="Century Gothic"/>
          <w:bCs/>
          <w:lang w:val="es-ES"/>
        </w:rPr>
        <w:t>.</w:t>
      </w:r>
      <w:r w:rsidRPr="00DE7035">
        <w:rPr>
          <w:rFonts w:ascii="Century Gothic" w:hAnsi="Century Gothic"/>
          <w:bCs/>
          <w:lang w:val="es-ES"/>
        </w:rPr>
        <w:t>-</w:t>
      </w:r>
      <w:r w:rsidRPr="00DE7035">
        <w:rPr>
          <w:rFonts w:ascii="Century Gothic" w:hAnsi="Century Gothic"/>
          <w:b/>
          <w:bCs/>
          <w:lang w:val="es-ES"/>
        </w:rPr>
        <w:t xml:space="preserve"> </w:t>
      </w:r>
      <w:r w:rsidRPr="00DE7035">
        <w:rPr>
          <w:rFonts w:ascii="Century Gothic" w:hAnsi="Century Gothic"/>
          <w:bCs/>
          <w:lang w:val="es-ES"/>
        </w:rPr>
        <w:t xml:space="preserve">Dictaminar como procedente </w:t>
      </w:r>
      <w:r w:rsidR="006A2AC1">
        <w:rPr>
          <w:rFonts w:ascii="Century Gothic" w:hAnsi="Century Gothic"/>
          <w:bCs/>
          <w:lang w:val="es-ES"/>
        </w:rPr>
        <w:t xml:space="preserve">el </w:t>
      </w:r>
      <w:r w:rsidR="00E506D3">
        <w:rPr>
          <w:rFonts w:ascii="Century Gothic" w:hAnsi="Century Gothic"/>
          <w:bCs/>
          <w:lang w:val="es-ES"/>
        </w:rPr>
        <w:t>Punto de Acuerdo</w:t>
      </w:r>
      <w:r w:rsidR="00B8422C">
        <w:rPr>
          <w:rFonts w:ascii="Century Gothic" w:hAnsi="Century Gothic"/>
          <w:bCs/>
          <w:lang w:val="es-ES"/>
        </w:rPr>
        <w:t xml:space="preserve"> por virtud del cual </w:t>
      </w:r>
      <w:r w:rsidR="00CE7EA9">
        <w:rPr>
          <w:rFonts w:ascii="Century Gothic" w:hAnsi="Century Gothic" w:cs="Tahoma"/>
          <w:lang w:val="es-ES_tradnl"/>
        </w:rPr>
        <w:t xml:space="preserve">se solicita </w:t>
      </w:r>
      <w:r w:rsidR="00CE7EA9" w:rsidRPr="00ED48B0">
        <w:rPr>
          <w:rFonts w:ascii="Century Gothic" w:hAnsi="Century Gothic" w:cs="Tahoma"/>
        </w:rPr>
        <w:t xml:space="preserve">al </w:t>
      </w:r>
      <w:r w:rsidR="00005710">
        <w:rPr>
          <w:rFonts w:ascii="Century Gothic" w:hAnsi="Century Gothic" w:cs="Tahoma"/>
        </w:rPr>
        <w:t>Ejecutivo</w:t>
      </w:r>
      <w:r w:rsidR="00CE7EA9" w:rsidRPr="00ED48B0">
        <w:rPr>
          <w:rFonts w:ascii="Century Gothic" w:hAnsi="Century Gothic" w:cs="Tahoma"/>
        </w:rPr>
        <w:t xml:space="preserve"> del </w:t>
      </w:r>
      <w:r w:rsidR="0079016E">
        <w:rPr>
          <w:rFonts w:ascii="Century Gothic" w:hAnsi="Century Gothic" w:cs="Tahoma"/>
        </w:rPr>
        <w:t xml:space="preserve">Gobierno del </w:t>
      </w:r>
      <w:r w:rsidR="00CE7EA9" w:rsidRPr="00ED48B0">
        <w:rPr>
          <w:rFonts w:ascii="Century Gothic" w:hAnsi="Century Gothic" w:cs="Tahoma"/>
        </w:rPr>
        <w:t xml:space="preserve">Estado de Puebla </w:t>
      </w:r>
      <w:r w:rsidR="00171086">
        <w:rPr>
          <w:rFonts w:ascii="Century Gothic" w:hAnsi="Century Gothic" w:cs="Tahoma"/>
        </w:rPr>
        <w:t xml:space="preserve">para </w:t>
      </w:r>
      <w:r w:rsidR="0079016E">
        <w:rPr>
          <w:rFonts w:ascii="Century Gothic" w:hAnsi="Century Gothic" w:cs="Tahoma"/>
        </w:rPr>
        <w:t xml:space="preserve">que </w:t>
      </w:r>
      <w:r w:rsidR="0079016E" w:rsidRPr="00113C6F">
        <w:rPr>
          <w:rFonts w:ascii="Century Gothic" w:hAnsi="Century Gothic" w:cs="Tahoma"/>
        </w:rPr>
        <w:t xml:space="preserve">a través de la Secretaria </w:t>
      </w:r>
      <w:r w:rsidR="00171086" w:rsidRPr="00113C6F">
        <w:rPr>
          <w:rFonts w:ascii="Century Gothic" w:hAnsi="Century Gothic" w:cs="Tahoma"/>
        </w:rPr>
        <w:t>d</w:t>
      </w:r>
      <w:r w:rsidR="0079016E" w:rsidRPr="00113C6F">
        <w:rPr>
          <w:rFonts w:ascii="Century Gothic" w:hAnsi="Century Gothic" w:cs="Tahoma"/>
        </w:rPr>
        <w:t xml:space="preserve">e </w:t>
      </w:r>
      <w:r w:rsidR="00AA54A9" w:rsidRPr="00113C6F">
        <w:rPr>
          <w:rFonts w:ascii="Century Gothic" w:hAnsi="Century Gothic" w:cs="Tahoma"/>
        </w:rPr>
        <w:t>Medio Ambiente</w:t>
      </w:r>
      <w:r w:rsidR="0079016E" w:rsidRPr="00113C6F">
        <w:rPr>
          <w:rFonts w:ascii="Century Gothic" w:hAnsi="Century Gothic" w:cs="Tahoma"/>
        </w:rPr>
        <w:t xml:space="preserve"> y Ordenamiento Territorial, promue</w:t>
      </w:r>
      <w:r w:rsidR="0079016E">
        <w:rPr>
          <w:rFonts w:ascii="Century Gothic" w:hAnsi="Century Gothic" w:cs="Tahoma"/>
        </w:rPr>
        <w:t xml:space="preserve">va ante los Órganos correspondientes </w:t>
      </w:r>
      <w:r w:rsidR="00113C6F">
        <w:rPr>
          <w:rFonts w:ascii="Century Gothic" w:hAnsi="Century Gothic" w:cs="Tahoma"/>
        </w:rPr>
        <w:t xml:space="preserve">del Gobierno Federal </w:t>
      </w:r>
      <w:r w:rsidR="00CE7EA9" w:rsidRPr="00ED48B0">
        <w:rPr>
          <w:rFonts w:ascii="Century Gothic" w:hAnsi="Century Gothic" w:cs="Tahoma"/>
        </w:rPr>
        <w:t xml:space="preserve">que la región </w:t>
      </w:r>
      <w:proofErr w:type="spellStart"/>
      <w:r w:rsidR="00CE7EA9" w:rsidRPr="00ED48B0">
        <w:rPr>
          <w:rFonts w:ascii="Century Gothic" w:hAnsi="Century Gothic" w:cs="Tahoma"/>
        </w:rPr>
        <w:t>Iztazihuatl-Popocatepetl</w:t>
      </w:r>
      <w:proofErr w:type="spellEnd"/>
      <w:r w:rsidR="00CE7EA9" w:rsidRPr="00ED48B0">
        <w:rPr>
          <w:rFonts w:ascii="Century Gothic" w:hAnsi="Century Gothic" w:cs="Tahoma"/>
        </w:rPr>
        <w:t xml:space="preserve"> sea declarada Patrimonio Natural de la Humanidad</w:t>
      </w:r>
      <w:r w:rsidR="0079016E">
        <w:rPr>
          <w:rFonts w:ascii="Century Gothic" w:hAnsi="Century Gothic" w:cs="Tahoma"/>
        </w:rPr>
        <w:t xml:space="preserve"> por la UNESCO</w:t>
      </w:r>
      <w:r w:rsidR="00CE7EA9" w:rsidRPr="00ED48B0">
        <w:rPr>
          <w:rFonts w:ascii="Century Gothic" w:hAnsi="Century Gothic" w:cs="Tahoma"/>
        </w:rPr>
        <w:t xml:space="preserve"> </w:t>
      </w:r>
      <w:r w:rsidR="00171086" w:rsidRPr="00AA54A9">
        <w:rPr>
          <w:rFonts w:ascii="Century Gothic" w:hAnsi="Century Gothic" w:cs="Tahoma"/>
          <w:b/>
        </w:rPr>
        <w:t>(Organización de las Naciones Unidas para la Educación, la Ciencia y la Cultura)</w:t>
      </w:r>
      <w:r w:rsidR="00171086">
        <w:rPr>
          <w:rFonts w:ascii="Century Gothic" w:hAnsi="Century Gothic" w:cs="Tahoma"/>
        </w:rPr>
        <w:t xml:space="preserve">; </w:t>
      </w:r>
      <w:r w:rsidR="0079016E">
        <w:rPr>
          <w:rFonts w:ascii="Century Gothic" w:hAnsi="Century Gothic" w:cs="Tahoma"/>
        </w:rPr>
        <w:t>dada su importancia ecológica, económica, social y cultural</w:t>
      </w:r>
      <w:r w:rsidR="00171086">
        <w:rPr>
          <w:rFonts w:ascii="Century Gothic" w:hAnsi="Century Gothic" w:cs="Tahoma"/>
        </w:rPr>
        <w:t>,</w:t>
      </w:r>
      <w:r w:rsidR="00005710" w:rsidRPr="00005710">
        <w:rPr>
          <w:rFonts w:ascii="Century Gothic" w:hAnsi="Century Gothic" w:cs="Tahoma"/>
        </w:rPr>
        <w:t xml:space="preserve"> </w:t>
      </w:r>
      <w:r w:rsidR="00CE7EA9">
        <w:rPr>
          <w:rFonts w:ascii="Century Gothic" w:hAnsi="Century Gothic" w:cs="Tahoma"/>
        </w:rPr>
        <w:t xml:space="preserve">con las modificaciones realizadas por esta Comisión </w:t>
      </w:r>
      <w:r w:rsidR="007F20B8" w:rsidRPr="007F20B8">
        <w:rPr>
          <w:rFonts w:ascii="Century Gothic" w:hAnsi="Century Gothic" w:cs="Tahoma"/>
        </w:rPr>
        <w:t>y someterlo a consideración del Pleno de esta Soberanía</w:t>
      </w:r>
      <w:r w:rsidR="00844DD4">
        <w:rPr>
          <w:rFonts w:ascii="Century Gothic" w:hAnsi="Century Gothic" w:cs="Tahoma"/>
        </w:rPr>
        <w:t>.</w:t>
      </w:r>
    </w:p>
    <w:p w14:paraId="755C0CD4" w14:textId="77777777" w:rsidR="00EC5B11" w:rsidRDefault="00EC5B11" w:rsidP="000D7564">
      <w:pPr>
        <w:spacing w:after="0" w:line="240" w:lineRule="auto"/>
        <w:jc w:val="both"/>
        <w:rPr>
          <w:rFonts w:ascii="Century Gothic" w:eastAsia="Tahoma" w:hAnsi="Century Gothic" w:cs="Tahoma"/>
        </w:rPr>
      </w:pPr>
    </w:p>
    <w:p w14:paraId="67651155" w14:textId="09066F2D" w:rsidR="00C87954" w:rsidRPr="00DE7035" w:rsidRDefault="00C87954" w:rsidP="000D7564">
      <w:pPr>
        <w:spacing w:after="0" w:line="240" w:lineRule="auto"/>
        <w:jc w:val="both"/>
        <w:rPr>
          <w:rFonts w:ascii="Century Gothic" w:hAnsi="Century Gothic"/>
          <w:lang w:val="es-ES"/>
        </w:rPr>
      </w:pPr>
      <w:r w:rsidRPr="00DE7035">
        <w:rPr>
          <w:rFonts w:ascii="Century Gothic" w:hAnsi="Century Gothic"/>
          <w:lang w:val="es-ES"/>
        </w:rPr>
        <w:t xml:space="preserve">Por lo anteriormente expuesto y con fundamento en lo dispuesto por </w:t>
      </w:r>
      <w:r w:rsidR="00171086" w:rsidRPr="00171086">
        <w:rPr>
          <w:rFonts w:ascii="Century Gothic" w:hAnsi="Century Gothic"/>
        </w:rPr>
        <w:t>los artículos 64 fracción I y 67 de la Constitución Política del Estado Libre y Soberano de Puebla; 102, 110, 115 fracción III, 119, 123 fracción XIX, 151, 152 y 154 de la Ley Orgánica del Poder Legislativo del Estado Libre y Soberano de Puebla; 45, 46, 47, 48 fracción XIX, 78, 79 y 82 del Reglamento Interior del Honorable Congreso del Estado Libre y Soberano de Puebla</w:t>
      </w:r>
      <w:r w:rsidRPr="00DE7035">
        <w:rPr>
          <w:rFonts w:ascii="Century Gothic" w:hAnsi="Century Gothic"/>
          <w:lang w:val="es-ES"/>
        </w:rPr>
        <w:t>, nos permitimos someter a la consideración de esta Soberanía, el siguiente:</w:t>
      </w:r>
    </w:p>
    <w:p w14:paraId="4C8655EF" w14:textId="77777777" w:rsidR="00171086" w:rsidRPr="00B8422C" w:rsidRDefault="00171086" w:rsidP="000D7564">
      <w:pPr>
        <w:spacing w:after="0" w:line="240" w:lineRule="auto"/>
        <w:jc w:val="center"/>
        <w:rPr>
          <w:rFonts w:ascii="Century Gothic" w:hAnsi="Century Gothic"/>
        </w:rPr>
      </w:pPr>
      <w:bookmarkStart w:id="6" w:name="_Hlk500509755"/>
    </w:p>
    <w:bookmarkEnd w:id="6"/>
    <w:p w14:paraId="0117BD48" w14:textId="6CB5F0AD" w:rsidR="008252BD" w:rsidRPr="00B8422C" w:rsidRDefault="007F20B8" w:rsidP="008252BD">
      <w:pPr>
        <w:pStyle w:val="Default"/>
        <w:jc w:val="center"/>
        <w:rPr>
          <w:rFonts w:ascii="Century Gothic" w:eastAsia="Calibri" w:hAnsi="Century Gothic" w:cs="Times New Roman"/>
          <w:b/>
          <w:color w:val="auto"/>
          <w:sz w:val="22"/>
          <w:szCs w:val="22"/>
        </w:rPr>
      </w:pPr>
      <w:r>
        <w:rPr>
          <w:rFonts w:ascii="Century Gothic" w:eastAsia="Calibri" w:hAnsi="Century Gothic" w:cs="Times New Roman"/>
          <w:b/>
          <w:color w:val="auto"/>
          <w:sz w:val="22"/>
          <w:szCs w:val="22"/>
        </w:rPr>
        <w:t>A C U E R D O</w:t>
      </w:r>
      <w:r w:rsidR="00B8422C" w:rsidRPr="00B8422C">
        <w:rPr>
          <w:rFonts w:ascii="Century Gothic" w:eastAsia="Calibri" w:hAnsi="Century Gothic" w:cs="Times New Roman"/>
          <w:b/>
          <w:color w:val="auto"/>
          <w:sz w:val="22"/>
          <w:szCs w:val="22"/>
        </w:rPr>
        <w:t xml:space="preserve"> </w:t>
      </w:r>
    </w:p>
    <w:p w14:paraId="5365322A" w14:textId="77777777" w:rsidR="00B8422C" w:rsidRPr="00B8422C" w:rsidRDefault="00B8422C" w:rsidP="00B8422C">
      <w:pPr>
        <w:pStyle w:val="Default"/>
        <w:jc w:val="both"/>
        <w:rPr>
          <w:rFonts w:ascii="Century Gothic" w:eastAsia="Calibri" w:hAnsi="Century Gothic" w:cs="Times New Roman"/>
          <w:color w:val="auto"/>
          <w:sz w:val="22"/>
          <w:szCs w:val="22"/>
        </w:rPr>
      </w:pPr>
    </w:p>
    <w:p w14:paraId="44328850" w14:textId="3AE4F17C" w:rsidR="00CE7EA9" w:rsidRDefault="00CE7EA9" w:rsidP="00E506D3">
      <w:pPr>
        <w:pStyle w:val="Default"/>
        <w:jc w:val="both"/>
        <w:rPr>
          <w:rFonts w:ascii="Century Gothic" w:eastAsia="Calibri" w:hAnsi="Century Gothic" w:cs="Times New Roman"/>
          <w:color w:val="auto"/>
          <w:sz w:val="22"/>
          <w:szCs w:val="22"/>
        </w:rPr>
      </w:pPr>
      <w:r>
        <w:rPr>
          <w:rFonts w:ascii="Century Gothic" w:eastAsia="Calibri" w:hAnsi="Century Gothic" w:cs="Times New Roman"/>
          <w:b/>
          <w:color w:val="auto"/>
          <w:sz w:val="22"/>
          <w:szCs w:val="22"/>
        </w:rPr>
        <w:t>PRIMERO</w:t>
      </w:r>
      <w:r w:rsidR="00B8422C" w:rsidRPr="00B8422C">
        <w:rPr>
          <w:rFonts w:ascii="Century Gothic" w:eastAsia="Calibri" w:hAnsi="Century Gothic" w:cs="Times New Roman"/>
          <w:b/>
          <w:color w:val="auto"/>
          <w:sz w:val="22"/>
          <w:szCs w:val="22"/>
        </w:rPr>
        <w:t>.</w:t>
      </w:r>
      <w:r w:rsidR="007F20B8">
        <w:rPr>
          <w:rFonts w:ascii="Century Gothic" w:eastAsia="Calibri" w:hAnsi="Century Gothic" w:cs="Times New Roman"/>
          <w:b/>
          <w:color w:val="auto"/>
          <w:sz w:val="22"/>
          <w:szCs w:val="22"/>
        </w:rPr>
        <w:t>-</w:t>
      </w:r>
      <w:r w:rsidR="00B8422C" w:rsidRPr="00B8422C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</w:t>
      </w:r>
      <w:bookmarkStart w:id="7" w:name="_Hlk525899511"/>
      <w:bookmarkStart w:id="8" w:name="_Hlk525900570"/>
      <w:r>
        <w:rPr>
          <w:rFonts w:ascii="Century Gothic" w:eastAsia="Calibri" w:hAnsi="Century Gothic" w:cs="Times New Roman"/>
          <w:color w:val="auto"/>
          <w:sz w:val="22"/>
          <w:szCs w:val="22"/>
        </w:rPr>
        <w:t xml:space="preserve">Solicitar </w:t>
      </w:r>
      <w:r w:rsidR="007F20B8">
        <w:rPr>
          <w:rFonts w:ascii="Century Gothic" w:eastAsia="Calibri" w:hAnsi="Century Gothic" w:cs="Times New Roman"/>
          <w:color w:val="auto"/>
          <w:sz w:val="22"/>
          <w:szCs w:val="22"/>
          <w:lang w:val="es-ES"/>
        </w:rPr>
        <w:t xml:space="preserve">respetuosamente 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al </w:t>
      </w:r>
      <w:r w:rsidR="00E717CC">
        <w:rPr>
          <w:rFonts w:ascii="Century Gothic" w:eastAsia="Calibri" w:hAnsi="Century Gothic" w:cs="Times New Roman"/>
          <w:color w:val="auto"/>
          <w:sz w:val="22"/>
          <w:szCs w:val="22"/>
        </w:rPr>
        <w:t>Titular</w:t>
      </w:r>
      <w:r w:rsidR="00AA54A9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del Poder Ejecutivo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del Estado de Puebla </w:t>
      </w:r>
      <w:r w:rsid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para 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que </w:t>
      </w:r>
      <w:r w:rsidR="00171086" w:rsidRPr="00AA54A9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a través de la Secretaria de </w:t>
      </w:r>
      <w:r w:rsidR="00AA54A9" w:rsidRPr="00AA54A9">
        <w:rPr>
          <w:rFonts w:ascii="Century Gothic" w:eastAsia="Calibri" w:hAnsi="Century Gothic" w:cs="Times New Roman"/>
          <w:color w:val="auto"/>
          <w:sz w:val="22"/>
          <w:szCs w:val="22"/>
        </w:rPr>
        <w:t>Medio Ambiente</w:t>
      </w:r>
      <w:r w:rsidR="00171086" w:rsidRPr="00AA54A9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y Ordenamiento Territorial, promueva ante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los Órganos correspondientes </w:t>
      </w:r>
      <w:r w:rsidR="00113C6F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del Gobierno Federal 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que la región </w:t>
      </w:r>
      <w:proofErr w:type="spellStart"/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>Iztazihuatl-Popocatepetl</w:t>
      </w:r>
      <w:proofErr w:type="spellEnd"/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sea declarada Patrimonio Natural de la Humanidad por la UNESCO </w:t>
      </w:r>
      <w:r w:rsidR="00171086" w:rsidRPr="00AA54A9">
        <w:rPr>
          <w:rFonts w:ascii="Century Gothic" w:eastAsia="Calibri" w:hAnsi="Century Gothic" w:cs="Times New Roman"/>
          <w:b/>
          <w:color w:val="auto"/>
          <w:sz w:val="22"/>
          <w:szCs w:val="22"/>
        </w:rPr>
        <w:t>(Organización de las Naciones Unidas para la Educación, la Ciencia y la Cultura)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>; dada su importancia ecológica, económica, social y cultural</w:t>
      </w:r>
      <w:r w:rsid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, 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para lo cual destine </w:t>
      </w:r>
      <w:r w:rsidR="00AA54A9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el recurso económico 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para la elaboración del diagnóstico que para tal efecto es necesario </w:t>
      </w:r>
      <w:r w:rsidR="00113C6F">
        <w:rPr>
          <w:rFonts w:ascii="Century Gothic" w:eastAsia="Calibri" w:hAnsi="Century Gothic" w:cs="Times New Roman"/>
          <w:color w:val="auto"/>
          <w:sz w:val="22"/>
          <w:szCs w:val="22"/>
        </w:rPr>
        <w:t>para ubicarlo en un Expediente de Candidatura,</w:t>
      </w:r>
      <w:r w:rsidR="00171086" w:rsidRPr="00171086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ante </w:t>
      </w:r>
      <w:r w:rsidR="00171086">
        <w:rPr>
          <w:rFonts w:ascii="Century Gothic" w:eastAsia="Calibri" w:hAnsi="Century Gothic" w:cs="Times New Roman"/>
          <w:color w:val="auto"/>
          <w:sz w:val="22"/>
          <w:szCs w:val="22"/>
        </w:rPr>
        <w:t>esa Instancia Internacional.</w:t>
      </w:r>
    </w:p>
    <w:p w14:paraId="71C5F45A" w14:textId="523C0BC4" w:rsidR="00CE7EA9" w:rsidRDefault="00CE7EA9" w:rsidP="00E506D3">
      <w:pPr>
        <w:pStyle w:val="Default"/>
        <w:jc w:val="both"/>
        <w:rPr>
          <w:rFonts w:ascii="Century Gothic" w:eastAsia="Calibri" w:hAnsi="Century Gothic" w:cs="Times New Roman"/>
          <w:color w:val="auto"/>
          <w:sz w:val="22"/>
          <w:szCs w:val="22"/>
        </w:rPr>
      </w:pPr>
    </w:p>
    <w:bookmarkEnd w:id="7"/>
    <w:bookmarkEnd w:id="8"/>
    <w:p w14:paraId="79EAAD84" w14:textId="3B0F8C40" w:rsidR="007F20B8" w:rsidRDefault="007F20B8" w:rsidP="00E506D3">
      <w:pPr>
        <w:pStyle w:val="Default"/>
        <w:jc w:val="both"/>
        <w:rPr>
          <w:rFonts w:ascii="Century Gothic" w:eastAsia="Calibri" w:hAnsi="Century Gothic" w:cs="Times New Roman"/>
          <w:color w:val="auto"/>
          <w:sz w:val="22"/>
          <w:szCs w:val="22"/>
        </w:rPr>
      </w:pPr>
    </w:p>
    <w:p w14:paraId="5E845149" w14:textId="572DDC17" w:rsidR="007F20B8" w:rsidRPr="007F20B8" w:rsidRDefault="007F20B8" w:rsidP="00E506D3">
      <w:pPr>
        <w:pStyle w:val="Default"/>
        <w:jc w:val="both"/>
        <w:rPr>
          <w:rFonts w:ascii="Century Gothic" w:eastAsia="Calibri" w:hAnsi="Century Gothic" w:cs="Times New Roman"/>
          <w:b/>
          <w:color w:val="auto"/>
          <w:sz w:val="22"/>
          <w:szCs w:val="22"/>
        </w:rPr>
      </w:pPr>
      <w:r w:rsidRPr="007F20B8">
        <w:rPr>
          <w:rFonts w:ascii="Century Gothic" w:eastAsia="Calibri" w:hAnsi="Century Gothic" w:cs="Times New Roman"/>
          <w:b/>
          <w:color w:val="auto"/>
          <w:sz w:val="22"/>
          <w:szCs w:val="22"/>
        </w:rPr>
        <w:t>Notifíquese.</w:t>
      </w:r>
    </w:p>
    <w:p w14:paraId="044F0C4C" w14:textId="77777777" w:rsidR="00171086" w:rsidRDefault="00171086" w:rsidP="002B0FDB">
      <w:pPr>
        <w:pStyle w:val="Textoindependiente"/>
        <w:spacing w:after="0"/>
        <w:jc w:val="center"/>
        <w:rPr>
          <w:rFonts w:ascii="Century Gothic" w:hAnsi="Century Gothic" w:cs="Tahoma"/>
          <w:b/>
          <w:sz w:val="22"/>
          <w:szCs w:val="22"/>
        </w:rPr>
      </w:pPr>
    </w:p>
    <w:p w14:paraId="29B48E7E" w14:textId="01944CC8" w:rsidR="002B0FDB" w:rsidRPr="00DE7035" w:rsidRDefault="002B0FDB" w:rsidP="002B0FDB">
      <w:pPr>
        <w:pStyle w:val="Textoindependiente"/>
        <w:spacing w:after="0"/>
        <w:jc w:val="center"/>
        <w:rPr>
          <w:rFonts w:ascii="Century Gothic" w:hAnsi="Century Gothic" w:cs="Tahoma"/>
          <w:b/>
          <w:sz w:val="22"/>
          <w:szCs w:val="22"/>
        </w:rPr>
      </w:pPr>
      <w:r w:rsidRPr="00DE7035">
        <w:rPr>
          <w:rFonts w:ascii="Century Gothic" w:hAnsi="Century Gothic" w:cs="Tahoma"/>
          <w:b/>
          <w:sz w:val="22"/>
          <w:szCs w:val="22"/>
        </w:rPr>
        <w:lastRenderedPageBreak/>
        <w:t>A T E N T A M E N T E</w:t>
      </w:r>
    </w:p>
    <w:p w14:paraId="0ECB4F25" w14:textId="77777777" w:rsidR="002B0FDB" w:rsidRPr="00DE7035" w:rsidRDefault="002B0FDB" w:rsidP="00235654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DE7035">
        <w:rPr>
          <w:rFonts w:ascii="Century Gothic" w:hAnsi="Century Gothic" w:cs="Tahoma"/>
          <w:b/>
        </w:rPr>
        <w:t>“SALA DE COMISIONES DEL HONORABLE CONGRESO DEL ESTADO”</w:t>
      </w:r>
    </w:p>
    <w:p w14:paraId="28A7E9FA" w14:textId="2753A374" w:rsidR="001F07BD" w:rsidRPr="00DE7035" w:rsidRDefault="002B0FDB" w:rsidP="00235654">
      <w:pPr>
        <w:spacing w:after="0" w:line="240" w:lineRule="auto"/>
        <w:jc w:val="center"/>
        <w:rPr>
          <w:rFonts w:ascii="Century Gothic" w:hAnsi="Century Gothic" w:cs="Tahoma"/>
          <w:lang w:val="pt-BR"/>
        </w:rPr>
      </w:pPr>
      <w:r w:rsidRPr="00DE7035">
        <w:rPr>
          <w:rFonts w:ascii="Century Gothic" w:hAnsi="Century Gothic" w:cs="Tahoma"/>
          <w:b/>
        </w:rPr>
        <w:t>CUATRO VECES HEROIC</w:t>
      </w:r>
      <w:r>
        <w:rPr>
          <w:rFonts w:ascii="Century Gothic" w:hAnsi="Century Gothic" w:cs="Tahoma"/>
          <w:b/>
        </w:rPr>
        <w:t xml:space="preserve">A PUEBLA DE ZARAGOZA, </w:t>
      </w:r>
      <w:r w:rsidR="00D17C51">
        <w:rPr>
          <w:rFonts w:ascii="Century Gothic" w:hAnsi="Century Gothic" w:cs="Tahoma"/>
          <w:b/>
        </w:rPr>
        <w:t xml:space="preserve">A </w:t>
      </w:r>
      <w:r w:rsidR="00171086">
        <w:rPr>
          <w:rFonts w:ascii="Century Gothic" w:hAnsi="Century Gothic" w:cs="Tahoma"/>
          <w:b/>
        </w:rPr>
        <w:t>22</w:t>
      </w:r>
      <w:r w:rsidR="005A52C7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 xml:space="preserve">DE </w:t>
      </w:r>
      <w:r w:rsidR="00171086">
        <w:rPr>
          <w:rFonts w:ascii="Century Gothic" w:hAnsi="Century Gothic" w:cs="Tahoma"/>
          <w:b/>
        </w:rPr>
        <w:t>ENERO</w:t>
      </w:r>
      <w:r w:rsidR="00AC03CC">
        <w:rPr>
          <w:rFonts w:ascii="Century Gothic" w:hAnsi="Century Gothic" w:cs="Tahoma"/>
          <w:b/>
        </w:rPr>
        <w:t xml:space="preserve"> </w:t>
      </w:r>
      <w:r w:rsidR="009211D4">
        <w:rPr>
          <w:rFonts w:ascii="Century Gothic" w:hAnsi="Century Gothic" w:cs="Tahoma"/>
          <w:b/>
        </w:rPr>
        <w:t>DE 201</w:t>
      </w:r>
      <w:r w:rsidR="00171086">
        <w:rPr>
          <w:rFonts w:ascii="Century Gothic" w:hAnsi="Century Gothic" w:cs="Tahoma"/>
          <w:b/>
        </w:rPr>
        <w:t>9</w:t>
      </w:r>
    </w:p>
    <w:p w14:paraId="56A13977" w14:textId="77777777" w:rsidR="005A52C7" w:rsidRDefault="00AC03CC" w:rsidP="00AC03CC">
      <w:pPr>
        <w:pStyle w:val="Sinespaciado1"/>
        <w:spacing w:line="247" w:lineRule="auto"/>
        <w:jc w:val="center"/>
        <w:rPr>
          <w:rFonts w:ascii="Century Gothic" w:hAnsi="Century Gothic"/>
          <w:b/>
        </w:rPr>
      </w:pPr>
      <w:r w:rsidRPr="00DE7035">
        <w:rPr>
          <w:rFonts w:ascii="Century Gothic" w:hAnsi="Century Gothic"/>
          <w:b/>
        </w:rPr>
        <w:t>COMISI</w:t>
      </w:r>
      <w:r>
        <w:rPr>
          <w:rFonts w:ascii="Century Gothic" w:hAnsi="Century Gothic"/>
          <w:b/>
        </w:rPr>
        <w:t xml:space="preserve">ÓN DE </w:t>
      </w:r>
      <w:r w:rsidR="005A52C7">
        <w:rPr>
          <w:rFonts w:ascii="Century Gothic" w:hAnsi="Century Gothic"/>
          <w:b/>
        </w:rPr>
        <w:t>MEDIO AMBIENTE, RECURSOS NATURALES</w:t>
      </w:r>
    </w:p>
    <w:p w14:paraId="0DB9C0E4" w14:textId="4343C3F8" w:rsidR="00AC03CC" w:rsidRDefault="005A52C7" w:rsidP="00AC03CC">
      <w:pPr>
        <w:pStyle w:val="Sinespaciado1"/>
        <w:spacing w:line="247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 CAMBIO CLIMÁTICO</w:t>
      </w:r>
      <w:r w:rsidR="00AC03CC">
        <w:rPr>
          <w:rFonts w:ascii="Century Gothic" w:hAnsi="Century Gothic"/>
          <w:b/>
        </w:rPr>
        <w:t xml:space="preserve"> </w:t>
      </w:r>
    </w:p>
    <w:p w14:paraId="2A29935E" w14:textId="77777777" w:rsidR="00AC03CC" w:rsidRPr="009211D4" w:rsidRDefault="00AC03CC" w:rsidP="00AC03CC">
      <w:pPr>
        <w:spacing w:after="0" w:line="240" w:lineRule="auto"/>
        <w:jc w:val="both"/>
        <w:rPr>
          <w:rFonts w:ascii="Century Gothic" w:hAnsi="Century Gothic" w:cs="Tahoma"/>
          <w:lang w:val="pt-BR"/>
        </w:rPr>
      </w:pPr>
    </w:p>
    <w:p w14:paraId="3F8A75EF" w14:textId="77777777" w:rsidR="005A52C7" w:rsidRPr="009211D4" w:rsidRDefault="005A52C7" w:rsidP="00AC03CC">
      <w:pPr>
        <w:spacing w:after="0" w:line="240" w:lineRule="auto"/>
        <w:jc w:val="both"/>
        <w:rPr>
          <w:rFonts w:ascii="Century Gothic" w:hAnsi="Century Gothic" w:cs="Tahoma"/>
          <w:lang w:val="pt-BR"/>
        </w:rPr>
      </w:pPr>
    </w:p>
    <w:p w14:paraId="686B0A14" w14:textId="6EC5D11D" w:rsidR="00AC03CC" w:rsidRDefault="00AC03CC" w:rsidP="00AC03CC">
      <w:pPr>
        <w:spacing w:after="0" w:line="240" w:lineRule="auto"/>
        <w:jc w:val="both"/>
        <w:rPr>
          <w:rFonts w:ascii="Century Gothic" w:hAnsi="Century Gothic" w:cs="Tahoma"/>
          <w:lang w:val="pt-BR"/>
        </w:rPr>
      </w:pPr>
    </w:p>
    <w:p w14:paraId="35F428D1" w14:textId="77777777" w:rsidR="00041182" w:rsidRPr="009211D4" w:rsidRDefault="00041182" w:rsidP="00AC03CC">
      <w:pPr>
        <w:spacing w:after="0" w:line="240" w:lineRule="auto"/>
        <w:jc w:val="both"/>
        <w:rPr>
          <w:rFonts w:ascii="Century Gothic" w:hAnsi="Century Gothic" w:cs="Tahoma"/>
          <w:lang w:val="pt-BR"/>
        </w:rPr>
      </w:pPr>
    </w:p>
    <w:p w14:paraId="6D6E8584" w14:textId="789034F3" w:rsidR="00AC03CC" w:rsidRPr="009211D4" w:rsidRDefault="00AC03CC" w:rsidP="00AC03CC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9211D4">
        <w:rPr>
          <w:rFonts w:ascii="Century Gothic" w:hAnsi="Century Gothic" w:cs="Tahoma"/>
          <w:b/>
        </w:rPr>
        <w:t xml:space="preserve">DIP. </w:t>
      </w:r>
      <w:r w:rsidR="001175AD">
        <w:rPr>
          <w:rFonts w:ascii="Century Gothic" w:hAnsi="Century Gothic" w:cs="Tahoma"/>
          <w:b/>
        </w:rPr>
        <w:t>NORA YESSICA MERINO ESCAMILLA</w:t>
      </w:r>
    </w:p>
    <w:p w14:paraId="44051A81" w14:textId="1C6E84E8" w:rsidR="00AC03CC" w:rsidRPr="009211D4" w:rsidRDefault="001175AD" w:rsidP="00AC03CC">
      <w:pPr>
        <w:spacing w:after="0" w:line="24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 P R E S I D E N T A</w:t>
      </w:r>
    </w:p>
    <w:p w14:paraId="12D6A2F4" w14:textId="72CEA753" w:rsidR="00AC03CC" w:rsidRDefault="00AC03CC" w:rsidP="00AC03CC">
      <w:pPr>
        <w:spacing w:after="0" w:line="240" w:lineRule="auto"/>
        <w:rPr>
          <w:rFonts w:ascii="Century Gothic" w:hAnsi="Century Gothic" w:cs="Tahoma"/>
          <w:b/>
        </w:rPr>
      </w:pPr>
    </w:p>
    <w:p w14:paraId="7CF60D57" w14:textId="77777777" w:rsidR="00041182" w:rsidRPr="009211D4" w:rsidRDefault="00041182" w:rsidP="00AC03CC">
      <w:pPr>
        <w:spacing w:after="0" w:line="240" w:lineRule="auto"/>
        <w:rPr>
          <w:rFonts w:ascii="Century Gothic" w:hAnsi="Century Gothic" w:cs="Tahoma"/>
          <w:b/>
        </w:rPr>
      </w:pPr>
    </w:p>
    <w:p w14:paraId="29386533" w14:textId="46D35F2A" w:rsidR="00AC03CC" w:rsidRPr="009211D4" w:rsidRDefault="00AC03CC" w:rsidP="00AC03CC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  <w:lang w:val="pt-BR"/>
        </w:rPr>
      </w:pPr>
      <w:r w:rsidRPr="009211D4">
        <w:rPr>
          <w:rFonts w:ascii="Century Gothic" w:hAnsi="Century Gothic" w:cs="Tahoma"/>
          <w:b/>
          <w:bCs/>
          <w:iCs/>
        </w:rPr>
        <w:t xml:space="preserve">DIP. </w:t>
      </w:r>
      <w:r w:rsidR="00041182">
        <w:rPr>
          <w:rFonts w:ascii="Century Gothic" w:hAnsi="Century Gothic" w:cs="Tahoma"/>
          <w:b/>
          <w:bCs/>
          <w:iCs/>
        </w:rPr>
        <w:t>YADIRA LIRA NAVARRO</w:t>
      </w:r>
    </w:p>
    <w:p w14:paraId="738F2ADE" w14:textId="61380574" w:rsidR="00AC03CC" w:rsidRPr="009211D4" w:rsidRDefault="00041182" w:rsidP="00AC03CC">
      <w:pPr>
        <w:spacing w:after="0" w:line="240" w:lineRule="auto"/>
        <w:rPr>
          <w:rFonts w:ascii="Century Gothic" w:hAnsi="Century Gothic" w:cs="Tahoma"/>
          <w:b/>
          <w:lang w:val="pt-BR"/>
        </w:rPr>
      </w:pPr>
      <w:r>
        <w:rPr>
          <w:rFonts w:ascii="Century Gothic" w:hAnsi="Century Gothic" w:cs="Tahoma"/>
          <w:b/>
          <w:lang w:val="pt-BR"/>
        </w:rPr>
        <w:t xml:space="preserve">       </w:t>
      </w:r>
      <w:r w:rsidR="00AC03CC" w:rsidRPr="009211D4">
        <w:rPr>
          <w:rFonts w:ascii="Century Gothic" w:hAnsi="Century Gothic" w:cs="Tahoma"/>
          <w:b/>
          <w:lang w:val="pt-BR"/>
        </w:rPr>
        <w:t xml:space="preserve">S E C R E T A R I </w:t>
      </w:r>
      <w:r>
        <w:rPr>
          <w:rFonts w:ascii="Century Gothic" w:hAnsi="Century Gothic" w:cs="Tahoma"/>
          <w:b/>
          <w:lang w:val="pt-BR"/>
        </w:rPr>
        <w:t>A</w:t>
      </w:r>
    </w:p>
    <w:p w14:paraId="7409C07E" w14:textId="77777777" w:rsidR="00844DD4" w:rsidRDefault="00844DD4" w:rsidP="00AC03CC">
      <w:pPr>
        <w:keepNext/>
        <w:spacing w:after="0" w:line="240" w:lineRule="auto"/>
        <w:jc w:val="right"/>
        <w:outlineLvl w:val="1"/>
        <w:rPr>
          <w:rFonts w:ascii="Century Gothic" w:hAnsi="Century Gothic" w:cs="Tahoma"/>
          <w:b/>
          <w:lang w:val="pt-BR"/>
        </w:rPr>
      </w:pPr>
    </w:p>
    <w:p w14:paraId="4DE32615" w14:textId="78371411" w:rsidR="00AC03CC" w:rsidRPr="009211D4" w:rsidRDefault="00AC03CC" w:rsidP="00AC03CC">
      <w:pPr>
        <w:keepNext/>
        <w:spacing w:after="0" w:line="240" w:lineRule="auto"/>
        <w:jc w:val="right"/>
        <w:outlineLvl w:val="1"/>
        <w:rPr>
          <w:rFonts w:ascii="Century Gothic" w:hAnsi="Century Gothic" w:cs="Tahoma"/>
          <w:b/>
          <w:bCs/>
          <w:iCs/>
        </w:rPr>
      </w:pPr>
      <w:r w:rsidRPr="009211D4">
        <w:rPr>
          <w:rFonts w:ascii="Century Gothic" w:hAnsi="Century Gothic" w:cs="Tahoma"/>
          <w:b/>
          <w:bCs/>
          <w:iCs/>
        </w:rPr>
        <w:t xml:space="preserve">DIP. </w:t>
      </w:r>
      <w:r w:rsidR="00041182">
        <w:rPr>
          <w:rFonts w:ascii="Century Gothic" w:hAnsi="Century Gothic" w:cs="Tahoma"/>
          <w:b/>
          <w:bCs/>
          <w:iCs/>
        </w:rPr>
        <w:t>LILIANA LUNA AGUIRRE</w:t>
      </w:r>
    </w:p>
    <w:p w14:paraId="1E38C90D" w14:textId="6C9C83D0" w:rsidR="00AC03CC" w:rsidRPr="009211D4" w:rsidRDefault="00AC03CC" w:rsidP="00AC03CC">
      <w:pPr>
        <w:spacing w:after="0" w:line="240" w:lineRule="auto"/>
        <w:rPr>
          <w:rFonts w:ascii="Century Gothic" w:hAnsi="Century Gothic" w:cs="Tahoma"/>
          <w:b/>
          <w:lang w:val="pt-BR"/>
        </w:rPr>
      </w:pPr>
      <w:r w:rsidRPr="009211D4">
        <w:rPr>
          <w:rFonts w:ascii="Century Gothic" w:hAnsi="Century Gothic" w:cs="Tahoma"/>
          <w:b/>
        </w:rPr>
        <w:t xml:space="preserve">                                                                             </w:t>
      </w:r>
      <w:r>
        <w:rPr>
          <w:rFonts w:ascii="Century Gothic" w:hAnsi="Century Gothic" w:cs="Tahoma"/>
          <w:b/>
        </w:rPr>
        <w:t xml:space="preserve">                                   </w:t>
      </w:r>
      <w:r w:rsidR="00041182">
        <w:rPr>
          <w:rFonts w:ascii="Century Gothic" w:hAnsi="Century Gothic" w:cs="Tahoma"/>
          <w:b/>
        </w:rPr>
        <w:t xml:space="preserve">        </w:t>
      </w:r>
      <w:r w:rsidRPr="009211D4">
        <w:rPr>
          <w:rFonts w:ascii="Century Gothic" w:hAnsi="Century Gothic" w:cs="Tahoma"/>
          <w:b/>
          <w:lang w:val="pt-BR"/>
        </w:rPr>
        <w:t>V O C A L</w:t>
      </w:r>
    </w:p>
    <w:p w14:paraId="0385ADE6" w14:textId="77777777" w:rsidR="00AC03CC" w:rsidRPr="009211D4" w:rsidRDefault="00AC03CC" w:rsidP="00AC03CC">
      <w:pPr>
        <w:spacing w:after="0" w:line="240" w:lineRule="auto"/>
        <w:rPr>
          <w:rFonts w:ascii="Century Gothic" w:hAnsi="Century Gothic" w:cs="Tahoma"/>
          <w:b/>
          <w:lang w:val="pt-BR"/>
        </w:rPr>
      </w:pPr>
    </w:p>
    <w:p w14:paraId="052082FC" w14:textId="77777777" w:rsidR="00AC03CC" w:rsidRPr="009211D4" w:rsidRDefault="00AC03CC" w:rsidP="00AC03CC">
      <w:pPr>
        <w:keepNext/>
        <w:spacing w:after="0" w:line="240" w:lineRule="auto"/>
        <w:outlineLvl w:val="1"/>
        <w:rPr>
          <w:rFonts w:ascii="Century Gothic" w:hAnsi="Century Gothic" w:cs="Tahoma"/>
          <w:b/>
          <w:lang w:val="pt-BR"/>
        </w:rPr>
      </w:pPr>
    </w:p>
    <w:p w14:paraId="4B4DB2E5" w14:textId="7ECE89E8" w:rsidR="00AC03CC" w:rsidRPr="009211D4" w:rsidRDefault="00AC03CC" w:rsidP="00AC03CC">
      <w:pPr>
        <w:keepNext/>
        <w:spacing w:after="0" w:line="240" w:lineRule="auto"/>
        <w:outlineLvl w:val="1"/>
        <w:rPr>
          <w:rFonts w:ascii="Century Gothic" w:hAnsi="Century Gothic" w:cs="Tahoma"/>
          <w:b/>
          <w:bCs/>
          <w:iCs/>
        </w:rPr>
      </w:pPr>
      <w:r w:rsidRPr="009211D4">
        <w:rPr>
          <w:rFonts w:ascii="Century Gothic" w:hAnsi="Century Gothic" w:cs="Tahoma"/>
          <w:b/>
          <w:bCs/>
          <w:iCs/>
        </w:rPr>
        <w:t xml:space="preserve">DIP. </w:t>
      </w:r>
      <w:r w:rsidR="00041182">
        <w:rPr>
          <w:rFonts w:ascii="Century Gothic" w:hAnsi="Century Gothic" w:cs="Tahoma"/>
          <w:b/>
          <w:bCs/>
          <w:iCs/>
        </w:rPr>
        <w:t>MÓNICA LARA CHÁVEZ</w:t>
      </w:r>
      <w:r w:rsidRPr="009211D4">
        <w:rPr>
          <w:rFonts w:ascii="Century Gothic" w:hAnsi="Century Gothic" w:cs="Tahoma"/>
          <w:b/>
          <w:bCs/>
          <w:iCs/>
        </w:rPr>
        <w:t xml:space="preserve"> </w:t>
      </w:r>
    </w:p>
    <w:p w14:paraId="7ED4E19D" w14:textId="066ABBEB" w:rsidR="00AC03CC" w:rsidRDefault="00AC03CC" w:rsidP="00AC03CC">
      <w:pPr>
        <w:spacing w:after="0" w:line="240" w:lineRule="auto"/>
        <w:jc w:val="both"/>
        <w:rPr>
          <w:rFonts w:ascii="Century Gothic" w:hAnsi="Century Gothic" w:cs="Tahoma"/>
          <w:b/>
        </w:rPr>
      </w:pPr>
      <w:r w:rsidRPr="009211D4">
        <w:rPr>
          <w:rFonts w:ascii="Century Gothic" w:hAnsi="Century Gothic" w:cs="Tahoma"/>
          <w:b/>
        </w:rPr>
        <w:t xml:space="preserve">                V O C A L</w:t>
      </w:r>
    </w:p>
    <w:p w14:paraId="47B7DCD8" w14:textId="77777777" w:rsidR="00041182" w:rsidRPr="009211D4" w:rsidRDefault="00041182" w:rsidP="00AC03CC">
      <w:pPr>
        <w:spacing w:after="0" w:line="240" w:lineRule="auto"/>
        <w:jc w:val="both"/>
        <w:rPr>
          <w:rFonts w:ascii="Century Gothic" w:hAnsi="Century Gothic" w:cs="Tahoma"/>
          <w:b/>
        </w:rPr>
      </w:pPr>
    </w:p>
    <w:p w14:paraId="36760690" w14:textId="77777777" w:rsidR="00AC03CC" w:rsidRPr="009211D4" w:rsidRDefault="00AC03CC" w:rsidP="00AC03CC">
      <w:pPr>
        <w:spacing w:after="0" w:line="240" w:lineRule="auto"/>
        <w:rPr>
          <w:rFonts w:ascii="Century Gothic" w:hAnsi="Century Gothic" w:cs="Tahoma"/>
          <w:b/>
        </w:rPr>
      </w:pPr>
    </w:p>
    <w:p w14:paraId="68E69C00" w14:textId="4E861CC2" w:rsidR="00AC03CC" w:rsidRPr="009211D4" w:rsidRDefault="00AC03CC" w:rsidP="00AC03CC">
      <w:pPr>
        <w:spacing w:after="0" w:line="240" w:lineRule="auto"/>
        <w:jc w:val="right"/>
        <w:rPr>
          <w:rFonts w:ascii="Century Gothic" w:hAnsi="Century Gothic" w:cs="Tahoma"/>
          <w:b/>
        </w:rPr>
      </w:pPr>
      <w:r w:rsidRPr="009211D4">
        <w:rPr>
          <w:rFonts w:ascii="Century Gothic" w:hAnsi="Century Gothic" w:cs="Tahoma"/>
          <w:b/>
        </w:rPr>
        <w:t xml:space="preserve">DIP. </w:t>
      </w:r>
      <w:r w:rsidR="00041182">
        <w:rPr>
          <w:rFonts w:ascii="Century Gothic" w:hAnsi="Century Gothic" w:cs="Tahoma"/>
          <w:b/>
        </w:rPr>
        <w:t>RAYMUNDO ATANACIO LUNA</w:t>
      </w:r>
    </w:p>
    <w:p w14:paraId="71FB9619" w14:textId="64816F24" w:rsidR="00AC03CC" w:rsidRPr="009211D4" w:rsidRDefault="00AC03CC" w:rsidP="00AC03CC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9211D4">
        <w:rPr>
          <w:rFonts w:ascii="Century Gothic" w:hAnsi="Century Gothic" w:cs="Tahoma"/>
          <w:b/>
        </w:rPr>
        <w:t xml:space="preserve">                                                                             </w:t>
      </w:r>
      <w:r>
        <w:rPr>
          <w:rFonts w:ascii="Century Gothic" w:hAnsi="Century Gothic" w:cs="Tahoma"/>
          <w:b/>
        </w:rPr>
        <w:t xml:space="preserve">                     </w:t>
      </w:r>
      <w:r w:rsidRPr="009211D4">
        <w:rPr>
          <w:rFonts w:ascii="Century Gothic" w:hAnsi="Century Gothic" w:cs="Tahoma"/>
          <w:b/>
        </w:rPr>
        <w:t>V O C A L</w:t>
      </w:r>
    </w:p>
    <w:p w14:paraId="5BBA1EB6" w14:textId="73A02654" w:rsidR="00AC03CC" w:rsidRDefault="00AC03CC" w:rsidP="00AC03CC">
      <w:pPr>
        <w:spacing w:after="0" w:line="240" w:lineRule="auto"/>
        <w:jc w:val="both"/>
        <w:rPr>
          <w:rFonts w:ascii="Century Gothic" w:hAnsi="Century Gothic" w:cs="Tahoma"/>
          <w:b/>
        </w:rPr>
      </w:pPr>
    </w:p>
    <w:p w14:paraId="61EB58E1" w14:textId="77777777" w:rsidR="00041182" w:rsidRDefault="00041182" w:rsidP="00AC03CC">
      <w:pPr>
        <w:spacing w:after="0" w:line="240" w:lineRule="auto"/>
        <w:jc w:val="both"/>
        <w:rPr>
          <w:rFonts w:ascii="Century Gothic" w:hAnsi="Century Gothic" w:cs="Tahoma"/>
          <w:b/>
        </w:rPr>
      </w:pPr>
    </w:p>
    <w:p w14:paraId="0E392009" w14:textId="77777777" w:rsidR="00AC03CC" w:rsidRPr="009211D4" w:rsidRDefault="00AC03CC" w:rsidP="00AC03CC">
      <w:pPr>
        <w:spacing w:after="0" w:line="240" w:lineRule="auto"/>
        <w:rPr>
          <w:rFonts w:ascii="Century Gothic" w:hAnsi="Century Gothic" w:cs="Tahoma"/>
          <w:b/>
        </w:rPr>
      </w:pPr>
    </w:p>
    <w:p w14:paraId="408EACAC" w14:textId="1DFAC257" w:rsidR="00AC03CC" w:rsidRPr="009211D4" w:rsidRDefault="00AC03CC" w:rsidP="00AC03CC">
      <w:pPr>
        <w:spacing w:after="0" w:line="240" w:lineRule="auto"/>
        <w:rPr>
          <w:rFonts w:ascii="Century Gothic" w:hAnsi="Century Gothic" w:cs="Tahoma"/>
          <w:b/>
        </w:rPr>
      </w:pPr>
      <w:r w:rsidRPr="009211D4">
        <w:rPr>
          <w:rFonts w:ascii="Century Gothic" w:hAnsi="Century Gothic" w:cs="Tahoma"/>
          <w:b/>
        </w:rPr>
        <w:t xml:space="preserve">DIP. </w:t>
      </w:r>
      <w:r w:rsidR="00041182">
        <w:rPr>
          <w:rFonts w:ascii="Century Gothic" w:hAnsi="Century Gothic" w:cs="Tahoma"/>
          <w:b/>
        </w:rPr>
        <w:t>JOSEFINA HERNÁNDEZ GARCÍA</w:t>
      </w:r>
    </w:p>
    <w:p w14:paraId="21D8A241" w14:textId="45C891C5" w:rsidR="009211D4" w:rsidRDefault="00AC03CC" w:rsidP="00AC03CC">
      <w:pPr>
        <w:tabs>
          <w:tab w:val="left" w:pos="6120"/>
        </w:tabs>
        <w:autoSpaceDE w:val="0"/>
        <w:autoSpaceDN w:val="0"/>
        <w:adjustRightInd w:val="0"/>
        <w:spacing w:after="0" w:line="247" w:lineRule="auto"/>
        <w:jc w:val="both"/>
        <w:rPr>
          <w:rFonts w:ascii="Century Gothic" w:hAnsi="Century Gothic" w:cs="Tahoma"/>
          <w:b/>
          <w:sz w:val="14"/>
          <w:szCs w:val="14"/>
        </w:rPr>
      </w:pPr>
      <w:r w:rsidRPr="009211D4">
        <w:rPr>
          <w:rFonts w:ascii="Century Gothic" w:hAnsi="Century Gothic" w:cs="Tahoma"/>
          <w:b/>
        </w:rPr>
        <w:t xml:space="preserve">  </w:t>
      </w:r>
      <w:r w:rsidR="00041182">
        <w:rPr>
          <w:rFonts w:ascii="Century Gothic" w:hAnsi="Century Gothic" w:cs="Tahoma"/>
          <w:b/>
        </w:rPr>
        <w:t xml:space="preserve">                  </w:t>
      </w:r>
      <w:r w:rsidRPr="009211D4">
        <w:rPr>
          <w:rFonts w:ascii="Century Gothic" w:hAnsi="Century Gothic" w:cs="Tahoma"/>
          <w:b/>
        </w:rPr>
        <w:t>V O C A L</w:t>
      </w:r>
      <w:r w:rsidR="00701CB2">
        <w:rPr>
          <w:rFonts w:ascii="Century Gothic" w:hAnsi="Century Gothic" w:cs="Tahoma"/>
          <w:b/>
          <w:sz w:val="14"/>
          <w:szCs w:val="14"/>
        </w:rPr>
        <w:tab/>
      </w:r>
    </w:p>
    <w:p w14:paraId="1DEFB60C" w14:textId="150F5844" w:rsidR="007B029E" w:rsidRDefault="007B029E" w:rsidP="00C62DCC">
      <w:pPr>
        <w:autoSpaceDE w:val="0"/>
        <w:autoSpaceDN w:val="0"/>
        <w:adjustRightInd w:val="0"/>
        <w:spacing w:after="0" w:line="247" w:lineRule="auto"/>
        <w:jc w:val="both"/>
        <w:rPr>
          <w:rFonts w:ascii="Century Gothic" w:hAnsi="Century Gothic" w:cs="Tahoma"/>
          <w:b/>
          <w:sz w:val="14"/>
          <w:szCs w:val="14"/>
        </w:rPr>
      </w:pPr>
    </w:p>
    <w:p w14:paraId="3596DD2B" w14:textId="2421D628" w:rsidR="00041182" w:rsidRPr="00041182" w:rsidRDefault="00041182" w:rsidP="00041182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041182">
        <w:rPr>
          <w:rFonts w:ascii="Century Gothic" w:hAnsi="Century Gothic" w:cs="Tahoma"/>
          <w:b/>
        </w:rPr>
        <w:t xml:space="preserve">                                                                  </w:t>
      </w:r>
      <w:r>
        <w:rPr>
          <w:rFonts w:ascii="Century Gothic" w:hAnsi="Century Gothic" w:cs="Tahoma"/>
          <w:b/>
        </w:rPr>
        <w:t xml:space="preserve">                         </w:t>
      </w:r>
      <w:r w:rsidRPr="00041182">
        <w:rPr>
          <w:rFonts w:ascii="Century Gothic" w:hAnsi="Century Gothic" w:cs="Tahoma"/>
          <w:b/>
        </w:rPr>
        <w:t xml:space="preserve">DIP. </w:t>
      </w:r>
      <w:r>
        <w:rPr>
          <w:rFonts w:ascii="Century Gothic" w:hAnsi="Century Gothic" w:cs="Tahoma"/>
          <w:b/>
        </w:rPr>
        <w:t>JUAN PABLO KURI CARBALLO</w:t>
      </w:r>
    </w:p>
    <w:p w14:paraId="51B90A99" w14:textId="3F8EBBE0" w:rsidR="00041182" w:rsidRDefault="00041182" w:rsidP="00041182">
      <w:pPr>
        <w:spacing w:after="0" w:line="240" w:lineRule="auto"/>
        <w:jc w:val="center"/>
        <w:rPr>
          <w:rFonts w:ascii="Century Gothic" w:hAnsi="Century Gothic" w:cs="Tahoma"/>
          <w:b/>
        </w:rPr>
      </w:pPr>
      <w:r w:rsidRPr="00041182">
        <w:rPr>
          <w:rFonts w:ascii="Century Gothic" w:hAnsi="Century Gothic" w:cs="Tahoma"/>
          <w:b/>
        </w:rPr>
        <w:t xml:space="preserve">                                                                       </w:t>
      </w:r>
      <w:r>
        <w:rPr>
          <w:rFonts w:ascii="Century Gothic" w:hAnsi="Century Gothic" w:cs="Tahoma"/>
          <w:b/>
        </w:rPr>
        <w:t xml:space="preserve">                       </w:t>
      </w:r>
      <w:r w:rsidRPr="00041182">
        <w:rPr>
          <w:rFonts w:ascii="Century Gothic" w:hAnsi="Century Gothic" w:cs="Tahoma"/>
          <w:b/>
        </w:rPr>
        <w:t>V O C A L</w:t>
      </w:r>
    </w:p>
    <w:p w14:paraId="61CA44B5" w14:textId="77777777" w:rsidR="00EC42AA" w:rsidRDefault="00EC42AA" w:rsidP="00041182">
      <w:pPr>
        <w:spacing w:after="0" w:line="240" w:lineRule="auto"/>
        <w:jc w:val="center"/>
        <w:rPr>
          <w:rFonts w:ascii="Century Gothic" w:hAnsi="Century Gothic" w:cs="Tahoma"/>
          <w:b/>
        </w:rPr>
      </w:pPr>
    </w:p>
    <w:p w14:paraId="2AED3DA7" w14:textId="7366B74D" w:rsidR="000B3957" w:rsidRDefault="009211D4" w:rsidP="00C62DCC">
      <w:pPr>
        <w:autoSpaceDE w:val="0"/>
        <w:autoSpaceDN w:val="0"/>
        <w:adjustRightInd w:val="0"/>
        <w:spacing w:after="0" w:line="247" w:lineRule="auto"/>
        <w:jc w:val="both"/>
        <w:rPr>
          <w:rFonts w:ascii="Century Gothic" w:eastAsia="Tahoma" w:hAnsi="Century Gothic" w:cs="Tahoma"/>
          <w:b/>
          <w:spacing w:val="-1"/>
          <w:sz w:val="14"/>
          <w:szCs w:val="14"/>
        </w:rPr>
      </w:pPr>
      <w:r>
        <w:rPr>
          <w:rFonts w:ascii="Century Gothic" w:hAnsi="Century Gothic" w:cs="Tahoma"/>
          <w:b/>
          <w:sz w:val="14"/>
          <w:szCs w:val="14"/>
        </w:rPr>
        <w:t>ESTA</w:t>
      </w:r>
      <w:r w:rsidR="001F07BD" w:rsidRPr="00C62DCC">
        <w:rPr>
          <w:rFonts w:ascii="Century Gothic" w:hAnsi="Century Gothic" w:cs="Tahoma"/>
          <w:b/>
          <w:sz w:val="14"/>
          <w:szCs w:val="14"/>
        </w:rPr>
        <w:t xml:space="preserve"> HOJA DE FIRMAS C</w:t>
      </w:r>
      <w:r w:rsidR="002D0493" w:rsidRPr="00C62DCC">
        <w:rPr>
          <w:rFonts w:ascii="Century Gothic" w:hAnsi="Century Gothic" w:cs="Tahoma"/>
          <w:b/>
          <w:sz w:val="14"/>
          <w:szCs w:val="14"/>
        </w:rPr>
        <w:t xml:space="preserve">ORRESPONDE AL </w:t>
      </w:r>
      <w:r w:rsidR="002D0493">
        <w:rPr>
          <w:rFonts w:ascii="Century Gothic" w:hAnsi="Century Gothic" w:cs="Tahoma"/>
          <w:b/>
          <w:sz w:val="14"/>
          <w:szCs w:val="14"/>
        </w:rPr>
        <w:t xml:space="preserve">ACUERDO </w:t>
      </w:r>
      <w:r w:rsidR="002D0493">
        <w:rPr>
          <w:rFonts w:ascii="Century Gothic" w:hAnsi="Century Gothic" w:cs="Arial"/>
          <w:b/>
          <w:sz w:val="14"/>
          <w:szCs w:val="14"/>
        </w:rPr>
        <w:t>POR VIRTUD</w:t>
      </w:r>
      <w:r w:rsidR="00171086">
        <w:rPr>
          <w:rFonts w:ascii="Century Gothic" w:hAnsi="Century Gothic" w:cs="Arial"/>
          <w:b/>
          <w:sz w:val="14"/>
          <w:szCs w:val="14"/>
        </w:rPr>
        <w:t xml:space="preserve"> DEL CUAL </w:t>
      </w:r>
      <w:r w:rsidR="00171086" w:rsidRPr="00005710">
        <w:rPr>
          <w:rFonts w:ascii="Century Gothic" w:hAnsi="Century Gothic" w:cs="Arial"/>
          <w:b/>
          <w:sz w:val="14"/>
          <w:szCs w:val="14"/>
          <w:lang w:val="es-ES_tradnl"/>
        </w:rPr>
        <w:t xml:space="preserve">SE </w:t>
      </w:r>
      <w:r w:rsidR="00171086" w:rsidRPr="00171086">
        <w:rPr>
          <w:rFonts w:ascii="Century Gothic" w:hAnsi="Century Gothic" w:cs="Arial"/>
          <w:b/>
          <w:sz w:val="14"/>
          <w:szCs w:val="14"/>
        </w:rPr>
        <w:t>S</w:t>
      </w:r>
      <w:r w:rsidR="00AA54A9" w:rsidRPr="00171086">
        <w:rPr>
          <w:rFonts w:ascii="Century Gothic" w:hAnsi="Century Gothic" w:cs="Arial"/>
          <w:b/>
          <w:sz w:val="14"/>
          <w:szCs w:val="14"/>
        </w:rPr>
        <w:t xml:space="preserve">OLICITA </w:t>
      </w:r>
      <w:r w:rsidR="00113C6F" w:rsidRPr="00113C6F">
        <w:rPr>
          <w:rFonts w:ascii="Century Gothic" w:hAnsi="Century Gothic" w:cs="Arial"/>
          <w:b/>
          <w:sz w:val="14"/>
          <w:szCs w:val="14"/>
          <w:lang w:val="es-ES"/>
        </w:rPr>
        <w:t xml:space="preserve">RESPETUOSAMENTE </w:t>
      </w:r>
      <w:r w:rsidR="00113C6F" w:rsidRPr="00113C6F">
        <w:rPr>
          <w:rFonts w:ascii="Century Gothic" w:hAnsi="Century Gothic" w:cs="Arial"/>
          <w:b/>
          <w:sz w:val="14"/>
          <w:szCs w:val="14"/>
        </w:rPr>
        <w:t xml:space="preserve">AL </w:t>
      </w:r>
      <w:r w:rsidR="00E717CC">
        <w:rPr>
          <w:rFonts w:ascii="Century Gothic" w:hAnsi="Century Gothic" w:cs="Arial"/>
          <w:b/>
          <w:sz w:val="14"/>
          <w:szCs w:val="14"/>
        </w:rPr>
        <w:t>TITULAR</w:t>
      </w:r>
      <w:r w:rsidR="00113C6F" w:rsidRPr="00113C6F">
        <w:rPr>
          <w:rFonts w:ascii="Century Gothic" w:hAnsi="Century Gothic" w:cs="Arial"/>
          <w:b/>
          <w:sz w:val="14"/>
          <w:szCs w:val="14"/>
        </w:rPr>
        <w:t xml:space="preserve"> DEL PODER EJECUTIVO DEL ESTADO DE PUEBLA PARA QUE A TRAVÉS DE LA SECRETARIA DE MEDIO AMBIENTE Y ORDENAMIENTO TERRITORIAL, PROMUEVA ANTE LOS ÓRGANOS CORRESPONDIENTES DEL GOBIERNO FEDERAL QUE LA REGIÓN IZTAZIHUATL-POPOCATEPETL SEA DECLARADA PATRIMONIO NATURAL DE LA HUMANIDAD POR LA UNESCO (ORGANIZACIÓN DE LAS NACIONES UNIDAS PARA LA EDUCACIÓN, LA CIENCIA Y LA CULTURA); DADA SU IMPORTANCIA ECOLÓGICA, ECONÓMICA, SOCIAL Y CULTURAL, PARA LO CUAL DESTINE EL RECURSO ECONÓMICO PARA LA ELABORACIÓN DEL DIAGNÓSTICO QUE PARA TAL EFECTO ES NECESARIO PARA UBICARL</w:t>
      </w:r>
      <w:r w:rsidR="00113C6F">
        <w:rPr>
          <w:rFonts w:ascii="Century Gothic" w:hAnsi="Century Gothic" w:cs="Arial"/>
          <w:b/>
          <w:sz w:val="14"/>
          <w:szCs w:val="14"/>
        </w:rPr>
        <w:t>O</w:t>
      </w:r>
      <w:r w:rsidR="00113C6F" w:rsidRPr="00113C6F">
        <w:rPr>
          <w:rFonts w:ascii="Century Gothic" w:hAnsi="Century Gothic" w:cs="Arial"/>
          <w:b/>
          <w:sz w:val="14"/>
          <w:szCs w:val="14"/>
        </w:rPr>
        <w:t xml:space="preserve"> EN UN EXPEDIENTE DE CANDIDATURA, ANTE ESA INSTANCIA INTERNACIONAL</w:t>
      </w:r>
      <w:r w:rsidR="00AA54A9">
        <w:rPr>
          <w:rFonts w:ascii="Century Gothic" w:hAnsi="Century Gothic" w:cs="Arial"/>
          <w:b/>
          <w:sz w:val="14"/>
          <w:szCs w:val="14"/>
        </w:rPr>
        <w:t>.</w:t>
      </w:r>
    </w:p>
    <w:sectPr w:rsidR="000B3957" w:rsidSect="0052560F">
      <w:headerReference w:type="default" r:id="rId8"/>
      <w:pgSz w:w="12240" w:h="15840"/>
      <w:pgMar w:top="3119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9C4B" w14:textId="77777777" w:rsidR="008F0DB4" w:rsidRDefault="008F0DB4" w:rsidP="009468C4">
      <w:pPr>
        <w:spacing w:after="0" w:line="240" w:lineRule="auto"/>
      </w:pPr>
      <w:r>
        <w:separator/>
      </w:r>
    </w:p>
  </w:endnote>
  <w:endnote w:type="continuationSeparator" w:id="0">
    <w:p w14:paraId="51436CBC" w14:textId="77777777" w:rsidR="008F0DB4" w:rsidRDefault="008F0DB4" w:rsidP="0094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97CD" w14:textId="77777777" w:rsidR="008F0DB4" w:rsidRDefault="008F0DB4" w:rsidP="009468C4">
      <w:pPr>
        <w:spacing w:after="0" w:line="240" w:lineRule="auto"/>
      </w:pPr>
      <w:r>
        <w:separator/>
      </w:r>
    </w:p>
  </w:footnote>
  <w:footnote w:type="continuationSeparator" w:id="0">
    <w:p w14:paraId="7C8F62C4" w14:textId="77777777" w:rsidR="008F0DB4" w:rsidRDefault="008F0DB4" w:rsidP="0094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8ACB" w14:textId="15508FDC" w:rsidR="001D3CA1" w:rsidRDefault="00EC42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ABB2ED" wp14:editId="1A54B026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532255" cy="6248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7C"/>
    <w:multiLevelType w:val="hybridMultilevel"/>
    <w:tmpl w:val="2972668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41C3D"/>
    <w:multiLevelType w:val="hybridMultilevel"/>
    <w:tmpl w:val="137CD6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14AC"/>
    <w:multiLevelType w:val="hybridMultilevel"/>
    <w:tmpl w:val="79368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411"/>
    <w:multiLevelType w:val="hybridMultilevel"/>
    <w:tmpl w:val="3E4EB1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1FD3"/>
    <w:multiLevelType w:val="hybridMultilevel"/>
    <w:tmpl w:val="49326F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0BAF"/>
    <w:multiLevelType w:val="hybridMultilevel"/>
    <w:tmpl w:val="B8261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3A3"/>
    <w:multiLevelType w:val="hybridMultilevel"/>
    <w:tmpl w:val="4FD05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66E69"/>
    <w:multiLevelType w:val="hybridMultilevel"/>
    <w:tmpl w:val="207CA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F3"/>
    <w:rsid w:val="00005710"/>
    <w:rsid w:val="00005FD9"/>
    <w:rsid w:val="00011BBD"/>
    <w:rsid w:val="00041182"/>
    <w:rsid w:val="0004510F"/>
    <w:rsid w:val="00054520"/>
    <w:rsid w:val="00055141"/>
    <w:rsid w:val="0005798D"/>
    <w:rsid w:val="00072B59"/>
    <w:rsid w:val="00073F96"/>
    <w:rsid w:val="00082809"/>
    <w:rsid w:val="00091FBB"/>
    <w:rsid w:val="00092F4D"/>
    <w:rsid w:val="000A5E6A"/>
    <w:rsid w:val="000A798E"/>
    <w:rsid w:val="000B3957"/>
    <w:rsid w:val="000D7564"/>
    <w:rsid w:val="000F5ED5"/>
    <w:rsid w:val="0010368A"/>
    <w:rsid w:val="00107C28"/>
    <w:rsid w:val="00113C6F"/>
    <w:rsid w:val="001175AD"/>
    <w:rsid w:val="00153185"/>
    <w:rsid w:val="001641BD"/>
    <w:rsid w:val="00171086"/>
    <w:rsid w:val="00181063"/>
    <w:rsid w:val="001851A3"/>
    <w:rsid w:val="00193984"/>
    <w:rsid w:val="00196913"/>
    <w:rsid w:val="001B01D7"/>
    <w:rsid w:val="001B49E7"/>
    <w:rsid w:val="001B55A3"/>
    <w:rsid w:val="001C4261"/>
    <w:rsid w:val="001D3CA1"/>
    <w:rsid w:val="001E526D"/>
    <w:rsid w:val="001E7681"/>
    <w:rsid w:val="001F07BD"/>
    <w:rsid w:val="0020767D"/>
    <w:rsid w:val="0022713F"/>
    <w:rsid w:val="00232F06"/>
    <w:rsid w:val="00235654"/>
    <w:rsid w:val="0023756B"/>
    <w:rsid w:val="002703D1"/>
    <w:rsid w:val="002810C8"/>
    <w:rsid w:val="00295A3D"/>
    <w:rsid w:val="002B0FDB"/>
    <w:rsid w:val="002B1BC9"/>
    <w:rsid w:val="002C4B1C"/>
    <w:rsid w:val="002D0493"/>
    <w:rsid w:val="002D398F"/>
    <w:rsid w:val="002D3A4B"/>
    <w:rsid w:val="0032548D"/>
    <w:rsid w:val="0033653D"/>
    <w:rsid w:val="00342AA8"/>
    <w:rsid w:val="00351A44"/>
    <w:rsid w:val="0035553B"/>
    <w:rsid w:val="003567DA"/>
    <w:rsid w:val="003761E0"/>
    <w:rsid w:val="00385915"/>
    <w:rsid w:val="003A3E89"/>
    <w:rsid w:val="003A637D"/>
    <w:rsid w:val="003A7497"/>
    <w:rsid w:val="003B4D2E"/>
    <w:rsid w:val="003B5CDE"/>
    <w:rsid w:val="003B7732"/>
    <w:rsid w:val="003C46D7"/>
    <w:rsid w:val="003C6595"/>
    <w:rsid w:val="003E4007"/>
    <w:rsid w:val="004210DA"/>
    <w:rsid w:val="00422D0B"/>
    <w:rsid w:val="00426BB9"/>
    <w:rsid w:val="00443AFB"/>
    <w:rsid w:val="00451E41"/>
    <w:rsid w:val="00455000"/>
    <w:rsid w:val="00455962"/>
    <w:rsid w:val="00475058"/>
    <w:rsid w:val="004774AE"/>
    <w:rsid w:val="00493A4A"/>
    <w:rsid w:val="00493CF3"/>
    <w:rsid w:val="004B382D"/>
    <w:rsid w:val="004B6A1B"/>
    <w:rsid w:val="004B7243"/>
    <w:rsid w:val="004C6773"/>
    <w:rsid w:val="004D115B"/>
    <w:rsid w:val="004D66D0"/>
    <w:rsid w:val="0050613A"/>
    <w:rsid w:val="0052560F"/>
    <w:rsid w:val="00531FCF"/>
    <w:rsid w:val="0058346F"/>
    <w:rsid w:val="005A52C7"/>
    <w:rsid w:val="005B0A75"/>
    <w:rsid w:val="005B63BF"/>
    <w:rsid w:val="005C1223"/>
    <w:rsid w:val="005D7594"/>
    <w:rsid w:val="005E138C"/>
    <w:rsid w:val="005E79CF"/>
    <w:rsid w:val="005E7B02"/>
    <w:rsid w:val="005F6AE6"/>
    <w:rsid w:val="0060101F"/>
    <w:rsid w:val="0060772B"/>
    <w:rsid w:val="006232FB"/>
    <w:rsid w:val="00642404"/>
    <w:rsid w:val="006446D5"/>
    <w:rsid w:val="006503B4"/>
    <w:rsid w:val="006562F5"/>
    <w:rsid w:val="00661266"/>
    <w:rsid w:val="0068752C"/>
    <w:rsid w:val="006A2AC1"/>
    <w:rsid w:val="006D5433"/>
    <w:rsid w:val="006F217F"/>
    <w:rsid w:val="006F5B1E"/>
    <w:rsid w:val="006F7336"/>
    <w:rsid w:val="00701CB2"/>
    <w:rsid w:val="0070429A"/>
    <w:rsid w:val="007045EC"/>
    <w:rsid w:val="00716AD4"/>
    <w:rsid w:val="00733B5E"/>
    <w:rsid w:val="007401FF"/>
    <w:rsid w:val="0074058B"/>
    <w:rsid w:val="00741466"/>
    <w:rsid w:val="00742CB8"/>
    <w:rsid w:val="007515CE"/>
    <w:rsid w:val="00755F6C"/>
    <w:rsid w:val="00760801"/>
    <w:rsid w:val="0077692E"/>
    <w:rsid w:val="00781F8E"/>
    <w:rsid w:val="0079016E"/>
    <w:rsid w:val="007A1CEC"/>
    <w:rsid w:val="007B029E"/>
    <w:rsid w:val="007F1EEE"/>
    <w:rsid w:val="007F1FFD"/>
    <w:rsid w:val="007F20B8"/>
    <w:rsid w:val="008018EA"/>
    <w:rsid w:val="008252BD"/>
    <w:rsid w:val="00833D59"/>
    <w:rsid w:val="00833DF2"/>
    <w:rsid w:val="00844DD4"/>
    <w:rsid w:val="00857292"/>
    <w:rsid w:val="00860977"/>
    <w:rsid w:val="008725E2"/>
    <w:rsid w:val="00877472"/>
    <w:rsid w:val="008A0F46"/>
    <w:rsid w:val="008A1751"/>
    <w:rsid w:val="008A4CB1"/>
    <w:rsid w:val="008B15B5"/>
    <w:rsid w:val="008C6F49"/>
    <w:rsid w:val="008E04D1"/>
    <w:rsid w:val="008E3612"/>
    <w:rsid w:val="008F0DB4"/>
    <w:rsid w:val="0090560A"/>
    <w:rsid w:val="00920B3D"/>
    <w:rsid w:val="009211D4"/>
    <w:rsid w:val="00925893"/>
    <w:rsid w:val="00941F69"/>
    <w:rsid w:val="00943EB7"/>
    <w:rsid w:val="00945033"/>
    <w:rsid w:val="009468C4"/>
    <w:rsid w:val="009665C5"/>
    <w:rsid w:val="00977B4B"/>
    <w:rsid w:val="009864EA"/>
    <w:rsid w:val="009B2C31"/>
    <w:rsid w:val="009C3EA3"/>
    <w:rsid w:val="009E00AB"/>
    <w:rsid w:val="009E4EF8"/>
    <w:rsid w:val="009F7DFA"/>
    <w:rsid w:val="00A01409"/>
    <w:rsid w:val="00A01CAA"/>
    <w:rsid w:val="00A26EDC"/>
    <w:rsid w:val="00A27C4A"/>
    <w:rsid w:val="00A644AA"/>
    <w:rsid w:val="00A84749"/>
    <w:rsid w:val="00A9193F"/>
    <w:rsid w:val="00AA54A9"/>
    <w:rsid w:val="00AB00AF"/>
    <w:rsid w:val="00AB634A"/>
    <w:rsid w:val="00AC03CC"/>
    <w:rsid w:val="00AC3BB5"/>
    <w:rsid w:val="00AC5532"/>
    <w:rsid w:val="00AD17BC"/>
    <w:rsid w:val="00AD475A"/>
    <w:rsid w:val="00AD6545"/>
    <w:rsid w:val="00AE2990"/>
    <w:rsid w:val="00AF0CF3"/>
    <w:rsid w:val="00AF7513"/>
    <w:rsid w:val="00B01B06"/>
    <w:rsid w:val="00B03899"/>
    <w:rsid w:val="00B23440"/>
    <w:rsid w:val="00B25D75"/>
    <w:rsid w:val="00B339C9"/>
    <w:rsid w:val="00B7629E"/>
    <w:rsid w:val="00B8422C"/>
    <w:rsid w:val="00BD4460"/>
    <w:rsid w:val="00BE7310"/>
    <w:rsid w:val="00BF02D6"/>
    <w:rsid w:val="00C02D04"/>
    <w:rsid w:val="00C03149"/>
    <w:rsid w:val="00C275F3"/>
    <w:rsid w:val="00C35980"/>
    <w:rsid w:val="00C4134D"/>
    <w:rsid w:val="00C51555"/>
    <w:rsid w:val="00C5407F"/>
    <w:rsid w:val="00C61BC3"/>
    <w:rsid w:val="00C6288B"/>
    <w:rsid w:val="00C62DCC"/>
    <w:rsid w:val="00C754FC"/>
    <w:rsid w:val="00C87954"/>
    <w:rsid w:val="00CE7EA9"/>
    <w:rsid w:val="00D17C51"/>
    <w:rsid w:val="00D31B37"/>
    <w:rsid w:val="00D358B7"/>
    <w:rsid w:val="00D429EF"/>
    <w:rsid w:val="00D438D2"/>
    <w:rsid w:val="00D93BBA"/>
    <w:rsid w:val="00D9792F"/>
    <w:rsid w:val="00D97D2F"/>
    <w:rsid w:val="00DB4B0D"/>
    <w:rsid w:val="00DC49D2"/>
    <w:rsid w:val="00DD3093"/>
    <w:rsid w:val="00DE6040"/>
    <w:rsid w:val="00DE7035"/>
    <w:rsid w:val="00DF1D56"/>
    <w:rsid w:val="00E15B8B"/>
    <w:rsid w:val="00E506D3"/>
    <w:rsid w:val="00E526F5"/>
    <w:rsid w:val="00E55A35"/>
    <w:rsid w:val="00E600D3"/>
    <w:rsid w:val="00E717CC"/>
    <w:rsid w:val="00EB4C19"/>
    <w:rsid w:val="00EC42AA"/>
    <w:rsid w:val="00EC5B11"/>
    <w:rsid w:val="00ED48B0"/>
    <w:rsid w:val="00ED6E14"/>
    <w:rsid w:val="00F02809"/>
    <w:rsid w:val="00F26B8A"/>
    <w:rsid w:val="00F47320"/>
    <w:rsid w:val="00F549D1"/>
    <w:rsid w:val="00F62822"/>
    <w:rsid w:val="00F86DEF"/>
    <w:rsid w:val="00FA0DB5"/>
    <w:rsid w:val="00FA1530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81D97"/>
  <w15:chartTrackingRefBased/>
  <w15:docId w15:val="{0AF69D08-E9EA-4C0D-A188-4A2CF60F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aliases w:val="Centrado Negritas"/>
    <w:uiPriority w:val="1"/>
    <w:qFormat/>
    <w:rsid w:val="00493CF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DD30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309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D3093"/>
    <w:rPr>
      <w:b/>
      <w:bCs/>
    </w:rPr>
  </w:style>
  <w:style w:type="paragraph" w:styleId="NormalWeb">
    <w:name w:val="Normal (Web)"/>
    <w:basedOn w:val="Normal"/>
    <w:uiPriority w:val="99"/>
    <w:unhideWhenUsed/>
    <w:rsid w:val="00DD3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C87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C87954"/>
    <w:pPr>
      <w:spacing w:after="120" w:line="240" w:lineRule="auto"/>
    </w:pPr>
    <w:rPr>
      <w:rFonts w:ascii="Tahoma" w:eastAsia="Times New Roman" w:hAnsi="Tahoma"/>
      <w:sz w:val="24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87954"/>
    <w:rPr>
      <w:rFonts w:ascii="Tahoma" w:eastAsia="Times New Roman" w:hAnsi="Tahoma" w:cs="Times New Roman"/>
      <w:sz w:val="24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8C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C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B8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5F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5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1C0-0E9D-4341-9041-958585E5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DIP.  CAROLINA BEAUREGARD MARTÍNEZ</vt:lpstr>
      <vt:lpstr>    DIP. MARÍA DEL ROCÍO AGUILAR NAVA</vt:lpstr>
      <vt:lpstr>    </vt:lpstr>
      <vt:lpstr>    DIP. JOSÉ DOMINGO ESQUITÍN LASTIRI 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Hernandez</dc:creator>
  <cp:keywords/>
  <dc:description/>
  <cp:lastModifiedBy>Pili Durán</cp:lastModifiedBy>
  <cp:revision>2</cp:revision>
  <cp:lastPrinted>2019-01-22T20:10:00Z</cp:lastPrinted>
  <dcterms:created xsi:type="dcterms:W3CDTF">2019-01-28T17:57:00Z</dcterms:created>
  <dcterms:modified xsi:type="dcterms:W3CDTF">2019-01-28T17:57:00Z</dcterms:modified>
</cp:coreProperties>
</file>