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D4DD" w14:textId="77777777" w:rsidR="00042655" w:rsidRDefault="00042655">
      <w:pPr>
        <w:pStyle w:val="Textoindependiente"/>
        <w:spacing w:before="9" w:after="1"/>
        <w:rPr>
          <w:rFonts w:ascii="Times New Roman"/>
          <w:sz w:val="10"/>
        </w:rPr>
      </w:pPr>
    </w:p>
    <w:p w14:paraId="0EAC15C1" w14:textId="77777777" w:rsidR="00042655" w:rsidRDefault="00BB5C01">
      <w:pPr>
        <w:pStyle w:val="Textoindependiente"/>
        <w:ind w:left="37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A94513" wp14:editId="2BCBC3BE">
            <wp:extent cx="1336575" cy="1431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575" cy="143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B3D10" w14:textId="77777777" w:rsidR="00042655" w:rsidRDefault="00042655">
      <w:pPr>
        <w:pStyle w:val="Textoindependiente"/>
        <w:rPr>
          <w:rFonts w:ascii="Times New Roman"/>
          <w:sz w:val="20"/>
        </w:rPr>
      </w:pPr>
    </w:p>
    <w:p w14:paraId="61F2989B" w14:textId="77777777" w:rsidR="00042655" w:rsidRDefault="00042655">
      <w:pPr>
        <w:pStyle w:val="Textoindependiente"/>
        <w:rPr>
          <w:rFonts w:ascii="Times New Roman"/>
          <w:sz w:val="20"/>
        </w:rPr>
      </w:pPr>
    </w:p>
    <w:p w14:paraId="32D54DA6" w14:textId="77777777" w:rsidR="00042655" w:rsidRDefault="00042655">
      <w:pPr>
        <w:pStyle w:val="Textoindependiente"/>
        <w:rPr>
          <w:rFonts w:ascii="Times New Roman"/>
          <w:sz w:val="20"/>
        </w:rPr>
      </w:pPr>
    </w:p>
    <w:p w14:paraId="3C109CE4" w14:textId="77777777" w:rsidR="00042655" w:rsidRDefault="00BB5C01">
      <w:pPr>
        <w:pStyle w:val="Ttulo1"/>
        <w:spacing w:before="217" w:line="362" w:lineRule="auto"/>
        <w:ind w:left="108"/>
        <w:jc w:val="left"/>
      </w:pPr>
      <w:r>
        <w:t>CC. DIPUTADOS INTEGRANTES DE LA MESA DIRECTIVA DE LA LX LEGISLATURA DEL H. CONGRESO DEL ESTADO DE PUEBLA</w:t>
      </w:r>
    </w:p>
    <w:p w14:paraId="645FAA85" w14:textId="77777777" w:rsidR="00042655" w:rsidRDefault="00BB5C01">
      <w:pPr>
        <w:spacing w:line="289" w:lineRule="exact"/>
        <w:ind w:left="108"/>
        <w:rPr>
          <w:b/>
          <w:sz w:val="24"/>
        </w:rPr>
      </w:pPr>
      <w:r>
        <w:rPr>
          <w:b/>
          <w:sz w:val="24"/>
        </w:rPr>
        <w:t>P R E S E N T E S</w:t>
      </w:r>
    </w:p>
    <w:p w14:paraId="451DAC66" w14:textId="77777777" w:rsidR="00042655" w:rsidRDefault="00042655">
      <w:pPr>
        <w:pStyle w:val="Textoindependiente"/>
        <w:rPr>
          <w:b/>
          <w:sz w:val="28"/>
        </w:rPr>
      </w:pPr>
    </w:p>
    <w:p w14:paraId="1E6B971B" w14:textId="77777777" w:rsidR="00042655" w:rsidRDefault="00BB5C01">
      <w:pPr>
        <w:spacing w:before="251" w:line="360" w:lineRule="auto"/>
        <w:ind w:left="108" w:right="269" w:firstLine="720"/>
        <w:jc w:val="both"/>
        <w:rPr>
          <w:sz w:val="24"/>
        </w:rPr>
      </w:pPr>
      <w:r>
        <w:rPr>
          <w:sz w:val="24"/>
        </w:rPr>
        <w:t xml:space="preserve">El que suscribe, </w:t>
      </w:r>
      <w:r>
        <w:rPr>
          <w:b/>
          <w:sz w:val="24"/>
        </w:rPr>
        <w:t xml:space="preserve">Diputado José Juan Espinosa Torres, </w:t>
      </w:r>
      <w:r>
        <w:rPr>
          <w:sz w:val="24"/>
        </w:rPr>
        <w:t>con</w:t>
      </w:r>
      <w:r>
        <w:rPr>
          <w:spacing w:val="-20"/>
          <w:sz w:val="24"/>
        </w:rPr>
        <w:t xml:space="preserve"> </w:t>
      </w:r>
      <w:r>
        <w:rPr>
          <w:sz w:val="24"/>
        </w:rPr>
        <w:t>fundamento en lo dispuesto en los artículos 63 y 64 de la Constitución Política del Estado Libre y Soberano de Puebla, 44 fracción II, 151 de la Ley Orgánica del Poder Legislativo del Estado de Puebla, me permito someter a consideración de esta Honorable A</w:t>
      </w:r>
      <w:r>
        <w:rPr>
          <w:sz w:val="24"/>
        </w:rPr>
        <w:t xml:space="preserve">samblea, la siguiente </w:t>
      </w:r>
      <w:r>
        <w:rPr>
          <w:b/>
          <w:i/>
          <w:sz w:val="24"/>
        </w:rPr>
        <w:t>PROPOSICIÓN CON PUNTO DE ACUERDO POR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QUE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SE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EXHORTA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CÁMARA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DIPUTADOS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HONORABLE CONGRESO DE LA UNIÓN A INCLUIR DENTRO DEL PRESUPUESTO DE EGRESOS DE LA FEDERACIÓN PARA EL EJERCICIO 2021 LA CONSTRUCCIÓN DEL HOSPITAL GENERA</w:t>
      </w:r>
      <w:r>
        <w:rPr>
          <w:b/>
          <w:i/>
          <w:sz w:val="24"/>
        </w:rPr>
        <w:t xml:space="preserve">L REGIONAL NO. 36 DE </w:t>
      </w:r>
      <w:r>
        <w:rPr>
          <w:b/>
          <w:i/>
          <w:spacing w:val="-5"/>
          <w:sz w:val="24"/>
        </w:rPr>
        <w:t xml:space="preserve">SAN </w:t>
      </w:r>
      <w:r>
        <w:rPr>
          <w:b/>
          <w:i/>
          <w:sz w:val="24"/>
        </w:rPr>
        <w:t>ALEJANDRO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INSTITUTO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MEXICANO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SEGURO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SOCIAL</w:t>
      </w:r>
      <w:r>
        <w:rPr>
          <w:b/>
          <w:i/>
          <w:spacing w:val="46"/>
          <w:sz w:val="24"/>
        </w:rPr>
        <w:t xml:space="preserve"> </w:t>
      </w:r>
      <w:r>
        <w:rPr>
          <w:sz w:val="24"/>
        </w:rPr>
        <w:t>bajo</w:t>
      </w:r>
      <w:r>
        <w:rPr>
          <w:spacing w:val="47"/>
          <w:sz w:val="24"/>
        </w:rPr>
        <w:t xml:space="preserve"> </w:t>
      </w:r>
      <w:r>
        <w:rPr>
          <w:sz w:val="24"/>
        </w:rPr>
        <w:t>los</w:t>
      </w:r>
    </w:p>
    <w:p w14:paraId="20909651" w14:textId="77777777" w:rsidR="00042655" w:rsidRDefault="00BB5C01">
      <w:pPr>
        <w:pStyle w:val="Textoindependiente"/>
        <w:spacing w:before="2"/>
        <w:ind w:left="108"/>
      </w:pPr>
      <w:r>
        <w:t>siguientes:</w:t>
      </w:r>
    </w:p>
    <w:p w14:paraId="65E35B0B" w14:textId="77777777" w:rsidR="00042655" w:rsidRDefault="00042655">
      <w:pPr>
        <w:pStyle w:val="Textoindependiente"/>
        <w:spacing w:before="8"/>
        <w:rPr>
          <w:sz w:val="31"/>
        </w:rPr>
      </w:pPr>
    </w:p>
    <w:p w14:paraId="5E28A8FC" w14:textId="77777777" w:rsidR="00042655" w:rsidRDefault="00BB5C01">
      <w:pPr>
        <w:pStyle w:val="Ttulo1"/>
        <w:spacing w:before="1"/>
        <w:ind w:right="1629"/>
      </w:pPr>
      <w:r>
        <w:t>CONSIDERANDOS</w:t>
      </w:r>
    </w:p>
    <w:p w14:paraId="58E7AC47" w14:textId="77777777" w:rsidR="00042655" w:rsidRDefault="00042655">
      <w:pPr>
        <w:pStyle w:val="Textoindependiente"/>
        <w:rPr>
          <w:b/>
          <w:sz w:val="28"/>
        </w:rPr>
      </w:pPr>
    </w:p>
    <w:p w14:paraId="4AC90CBD" w14:textId="77777777" w:rsidR="00042655" w:rsidRDefault="00042655">
      <w:pPr>
        <w:pStyle w:val="Textoindependiente"/>
        <w:spacing w:before="5"/>
        <w:rPr>
          <w:b/>
          <w:sz w:val="40"/>
        </w:rPr>
      </w:pPr>
    </w:p>
    <w:p w14:paraId="1DFA8C8C" w14:textId="77777777" w:rsidR="00042655" w:rsidRDefault="00BB5C01">
      <w:pPr>
        <w:pStyle w:val="Textoindependiente"/>
        <w:spacing w:line="360" w:lineRule="auto"/>
        <w:ind w:left="108" w:right="309"/>
        <w:jc w:val="both"/>
      </w:pPr>
      <w:r>
        <w:t>El</w:t>
      </w:r>
      <w:r>
        <w:rPr>
          <w:spacing w:val="-7"/>
        </w:rPr>
        <w:t xml:space="preserve"> </w:t>
      </w:r>
      <w:r>
        <w:t>martes</w:t>
      </w:r>
      <w:r>
        <w:rPr>
          <w:spacing w:val="-7"/>
        </w:rPr>
        <w:t xml:space="preserve"> </w:t>
      </w:r>
      <w:r>
        <w:t>19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septiembre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2017,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ciudad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Puebla</w:t>
      </w:r>
      <w:r>
        <w:rPr>
          <w:spacing w:val="-6"/>
        </w:rPr>
        <w:t xml:space="preserve"> </w:t>
      </w:r>
      <w:r>
        <w:t>experimentó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sismo de 7.1 grados en la escala Richter. Esto causó que varios edificios se vieran afectados estructuralmente, incluido el Hospital de “San Alejandro” del</w:t>
      </w:r>
      <w:r>
        <w:rPr>
          <w:spacing w:val="-56"/>
        </w:rPr>
        <w:t xml:space="preserve"> </w:t>
      </w:r>
      <w:r>
        <w:t>Instituto Mexicano del Seguro Social, el cual dejó de brindar servicio a tres mil</w:t>
      </w:r>
      <w:r>
        <w:rPr>
          <w:spacing w:val="-20"/>
        </w:rPr>
        <w:t xml:space="preserve"> </w:t>
      </w:r>
      <w:r>
        <w:t>pacientes</w:t>
      </w:r>
    </w:p>
    <w:p w14:paraId="2FEEA131" w14:textId="77777777" w:rsidR="00042655" w:rsidRDefault="00042655">
      <w:pPr>
        <w:spacing w:line="360" w:lineRule="auto"/>
        <w:jc w:val="both"/>
        <w:sectPr w:rsidR="00042655">
          <w:type w:val="continuous"/>
          <w:pgSz w:w="12240" w:h="15840"/>
          <w:pgMar w:top="1500" w:right="1160" w:bottom="280" w:left="1020" w:header="720" w:footer="720" w:gutter="0"/>
          <w:cols w:space="720"/>
        </w:sectPr>
      </w:pPr>
    </w:p>
    <w:p w14:paraId="70AA8F78" w14:textId="77777777" w:rsidR="00042655" w:rsidRDefault="00BB5C01">
      <w:pPr>
        <w:pStyle w:val="Textoindependiente"/>
        <w:spacing w:before="77" w:line="362" w:lineRule="auto"/>
        <w:ind w:left="108" w:right="195"/>
      </w:pPr>
      <w:r>
        <w:lastRenderedPageBreak/>
        <w:t>diarios. A partir de entonces, los derechohabientes han sido redireccionados a los Hospitales “La Margarita” y “San José”, principalmente.</w:t>
      </w:r>
    </w:p>
    <w:p w14:paraId="5A4ED10C" w14:textId="77777777" w:rsidR="00042655" w:rsidRDefault="00042655">
      <w:pPr>
        <w:pStyle w:val="Textoindependiente"/>
        <w:spacing w:before="9"/>
        <w:rPr>
          <w:sz w:val="35"/>
        </w:rPr>
      </w:pPr>
    </w:p>
    <w:p w14:paraId="1CB6AD47" w14:textId="77777777" w:rsidR="00042655" w:rsidRDefault="00BB5C01">
      <w:pPr>
        <w:pStyle w:val="Textoindependiente"/>
        <w:spacing w:line="360" w:lineRule="auto"/>
        <w:ind w:left="366" w:right="109"/>
        <w:jc w:val="both"/>
      </w:pPr>
      <w:r>
        <w:t>Sin embargo, esto afectó la capacidad de atención de los derechohabientes del IMSS. Cabe destacar que el referido Ho</w:t>
      </w:r>
      <w:r>
        <w:t>spital tenía una ocupación promedio de 90% de su capacidad, por lo que era una instalación medular en la infraestructura</w:t>
      </w:r>
      <w:r>
        <w:rPr>
          <w:spacing w:val="-24"/>
        </w:rPr>
        <w:t xml:space="preserve"> </w:t>
      </w:r>
      <w:r>
        <w:t>hospitalaria</w:t>
      </w:r>
      <w:r>
        <w:rPr>
          <w:spacing w:val="-23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Estado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Puebla,</w:t>
      </w:r>
      <w:r>
        <w:rPr>
          <w:spacing w:val="-23"/>
        </w:rPr>
        <w:t xml:space="preserve"> </w:t>
      </w:r>
      <w:r>
        <w:t>asistiendo</w:t>
      </w:r>
      <w:r>
        <w:rPr>
          <w:spacing w:val="-23"/>
        </w:rPr>
        <w:t xml:space="preserve"> </w:t>
      </w:r>
      <w:r>
        <w:t>también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pacientes de los Estados de Tlaxcala, Oaxaca y</w:t>
      </w:r>
      <w:r>
        <w:rPr>
          <w:spacing w:val="-4"/>
        </w:rPr>
        <w:t xml:space="preserve"> </w:t>
      </w:r>
      <w:r>
        <w:t>Veracruz.</w:t>
      </w:r>
    </w:p>
    <w:p w14:paraId="27223032" w14:textId="77777777" w:rsidR="00042655" w:rsidRDefault="00042655">
      <w:pPr>
        <w:pStyle w:val="Textoindependiente"/>
        <w:rPr>
          <w:sz w:val="36"/>
        </w:rPr>
      </w:pPr>
    </w:p>
    <w:p w14:paraId="659FB8DE" w14:textId="77777777" w:rsidR="00042655" w:rsidRDefault="00BB5C01">
      <w:pPr>
        <w:pStyle w:val="Textoindependiente"/>
        <w:spacing w:line="362" w:lineRule="auto"/>
        <w:ind w:left="366" w:right="167"/>
        <w:jc w:val="both"/>
      </w:pPr>
      <w:r>
        <w:t>Considerando que la C</w:t>
      </w:r>
      <w:r>
        <w:t>onstitución Política de los Estados Unidos Mexicanos, en el</w:t>
      </w:r>
      <w:r>
        <w:rPr>
          <w:spacing w:val="-9"/>
        </w:rPr>
        <w:t xml:space="preserve"> </w:t>
      </w:r>
      <w:r>
        <w:t>segundo</w:t>
      </w:r>
      <w:r>
        <w:rPr>
          <w:spacing w:val="-9"/>
        </w:rPr>
        <w:t xml:space="preserve"> </w:t>
      </w:r>
      <w:r>
        <w:t>párrafo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cuarto</w:t>
      </w:r>
      <w:r>
        <w:rPr>
          <w:spacing w:val="-9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garantiza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derecho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protección</w:t>
      </w:r>
      <w:r>
        <w:rPr>
          <w:spacing w:val="-9"/>
        </w:rPr>
        <w:t xml:space="preserve"> </w:t>
      </w:r>
      <w:r>
        <w:t>de la salud para todas las</w:t>
      </w:r>
      <w:r>
        <w:rPr>
          <w:spacing w:val="-2"/>
        </w:rPr>
        <w:t xml:space="preserve"> </w:t>
      </w:r>
      <w:r>
        <w:t>personas.</w:t>
      </w:r>
    </w:p>
    <w:p w14:paraId="3B83FA29" w14:textId="77777777" w:rsidR="00042655" w:rsidRDefault="00042655">
      <w:pPr>
        <w:pStyle w:val="Textoindependiente"/>
        <w:spacing w:before="5"/>
        <w:rPr>
          <w:sz w:val="35"/>
        </w:rPr>
      </w:pPr>
    </w:p>
    <w:p w14:paraId="5120C4BF" w14:textId="77777777" w:rsidR="00042655" w:rsidRDefault="00BB5C01">
      <w:pPr>
        <w:pStyle w:val="Ttulo1"/>
        <w:spacing w:before="1" w:line="360" w:lineRule="auto"/>
        <w:ind w:left="1548" w:right="166"/>
        <w:jc w:val="both"/>
      </w:pPr>
      <w:r>
        <w:t>Art.</w:t>
      </w:r>
      <w:r>
        <w:rPr>
          <w:spacing w:val="-15"/>
        </w:rPr>
        <w:t xml:space="preserve"> </w:t>
      </w:r>
      <w:r>
        <w:t>4.-</w:t>
      </w:r>
      <w:r>
        <w:rPr>
          <w:spacing w:val="-14"/>
        </w:rPr>
        <w:t xml:space="preserve"> </w:t>
      </w:r>
      <w:r>
        <w:t>Toda</w:t>
      </w:r>
      <w:r>
        <w:rPr>
          <w:spacing w:val="-13"/>
        </w:rPr>
        <w:t xml:space="preserve"> </w:t>
      </w:r>
      <w:r>
        <w:t>persona</w:t>
      </w:r>
      <w:r>
        <w:rPr>
          <w:spacing w:val="-14"/>
        </w:rPr>
        <w:t xml:space="preserve"> </w:t>
      </w:r>
      <w:r>
        <w:t>tiene</w:t>
      </w:r>
      <w:r>
        <w:rPr>
          <w:spacing w:val="-13"/>
        </w:rPr>
        <w:t xml:space="preserve"> </w:t>
      </w:r>
      <w:r>
        <w:t>derecho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protección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 xml:space="preserve">salud. La Ley definirá las bases y modalidades para el acceso a los servicios de salud y establecerá la concurrencia de la Federación y las entidades federativas en materia </w:t>
      </w:r>
      <w:r>
        <w:rPr>
          <w:spacing w:val="-6"/>
        </w:rPr>
        <w:t xml:space="preserve">de </w:t>
      </w:r>
      <w:r>
        <w:t xml:space="preserve">salubridad general, conforme a lo que dispone la fracción </w:t>
      </w:r>
      <w:r>
        <w:rPr>
          <w:spacing w:val="-5"/>
        </w:rPr>
        <w:t xml:space="preserve">XVI </w:t>
      </w:r>
      <w:r>
        <w:t>del artículo 73 de</w:t>
      </w:r>
      <w:r>
        <w:t xml:space="preserve"> esta</w:t>
      </w:r>
      <w:r>
        <w:rPr>
          <w:spacing w:val="-1"/>
        </w:rPr>
        <w:t xml:space="preserve"> </w:t>
      </w:r>
      <w:r>
        <w:t>Constitución.</w:t>
      </w:r>
    </w:p>
    <w:p w14:paraId="7128A2A8" w14:textId="77777777" w:rsidR="00042655" w:rsidRDefault="00042655">
      <w:pPr>
        <w:pStyle w:val="Textoindependiente"/>
        <w:spacing w:before="4"/>
        <w:rPr>
          <w:b/>
          <w:sz w:val="36"/>
        </w:rPr>
      </w:pPr>
    </w:p>
    <w:p w14:paraId="3EF50DFA" w14:textId="77777777" w:rsidR="00042655" w:rsidRDefault="00BB5C01">
      <w:pPr>
        <w:pStyle w:val="Textoindependiente"/>
        <w:spacing w:line="360" w:lineRule="auto"/>
        <w:ind w:left="366" w:right="167"/>
        <w:jc w:val="both"/>
      </w:pPr>
      <w:r>
        <w:t>El Estado Mexicano deberá brindar toda la infraestructura necesaria para asegurar la asistencia médica oportuna a la población residente de la Zona Metropolitana del Estado de Puebla. Por lo tanto, el Gobierno del Estado de Puebla tien</w:t>
      </w:r>
      <w:r>
        <w:t>e el mandato de preservar el bien jurídico.</w:t>
      </w:r>
    </w:p>
    <w:p w14:paraId="5A260EE7" w14:textId="77777777" w:rsidR="00042655" w:rsidRDefault="00042655">
      <w:pPr>
        <w:pStyle w:val="Textoindependiente"/>
        <w:spacing w:before="1"/>
        <w:rPr>
          <w:sz w:val="36"/>
        </w:rPr>
      </w:pPr>
    </w:p>
    <w:p w14:paraId="0116A105" w14:textId="77777777" w:rsidR="00042655" w:rsidRDefault="00BB5C01">
      <w:pPr>
        <w:pStyle w:val="Textoindependiente"/>
        <w:spacing w:line="360" w:lineRule="auto"/>
        <w:ind w:left="366" w:right="167"/>
        <w:jc w:val="both"/>
      </w:pPr>
      <w:r>
        <w:t>La Organización Mundial de la Salud define a la salud como un “Estado de Bienestar físico, psíquico y social, tanto del individuo como de la colectividad”.</w:t>
      </w:r>
    </w:p>
    <w:p w14:paraId="5C2BDBE9" w14:textId="77777777" w:rsidR="00042655" w:rsidRDefault="00042655">
      <w:pPr>
        <w:pStyle w:val="Textoindependiente"/>
        <w:spacing w:before="3"/>
        <w:rPr>
          <w:sz w:val="36"/>
        </w:rPr>
      </w:pPr>
    </w:p>
    <w:p w14:paraId="19A06219" w14:textId="77777777" w:rsidR="00042655" w:rsidRDefault="00BB5C01">
      <w:pPr>
        <w:pStyle w:val="Textoindependiente"/>
        <w:spacing w:line="360" w:lineRule="auto"/>
        <w:ind w:left="366" w:right="167"/>
        <w:jc w:val="both"/>
      </w:pPr>
      <w:r>
        <w:t>La epidemia de COVID-19 en el Estado de Puebla ha obli</w:t>
      </w:r>
      <w:r>
        <w:t>gado al Estado a adoptar</w:t>
      </w:r>
      <w:r>
        <w:rPr>
          <w:spacing w:val="59"/>
        </w:rPr>
        <w:t xml:space="preserve"> </w:t>
      </w:r>
      <w:r>
        <w:t>medidas</w:t>
      </w:r>
      <w:r>
        <w:rPr>
          <w:spacing w:val="60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contener</w:t>
      </w:r>
      <w:r>
        <w:rPr>
          <w:spacing w:val="60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mitigar</w:t>
      </w:r>
      <w:r>
        <w:rPr>
          <w:spacing w:val="60"/>
        </w:rPr>
        <w:t xml:space="preserve"> </w:t>
      </w:r>
      <w:r>
        <w:t>sus</w:t>
      </w:r>
      <w:r>
        <w:rPr>
          <w:spacing w:val="59"/>
        </w:rPr>
        <w:t xml:space="preserve"> </w:t>
      </w:r>
      <w:r>
        <w:t>efectos</w:t>
      </w:r>
      <w:r>
        <w:rPr>
          <w:spacing w:val="60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población.</w:t>
      </w:r>
      <w:r>
        <w:rPr>
          <w:spacing w:val="59"/>
        </w:rPr>
        <w:t xml:space="preserve"> </w:t>
      </w:r>
      <w:r>
        <w:t>Sin</w:t>
      </w:r>
    </w:p>
    <w:p w14:paraId="38E01FF7" w14:textId="77777777" w:rsidR="00042655" w:rsidRDefault="00042655">
      <w:pPr>
        <w:spacing w:line="360" w:lineRule="auto"/>
        <w:jc w:val="both"/>
        <w:sectPr w:rsidR="00042655">
          <w:pgSz w:w="12240" w:h="15840"/>
          <w:pgMar w:top="1100" w:right="1160" w:bottom="280" w:left="1020" w:header="720" w:footer="720" w:gutter="0"/>
          <w:cols w:space="720"/>
        </w:sectPr>
      </w:pPr>
    </w:p>
    <w:p w14:paraId="09371A21" w14:textId="77777777" w:rsidR="00042655" w:rsidRDefault="00BB5C01">
      <w:pPr>
        <w:pStyle w:val="Textoindependiente"/>
        <w:spacing w:before="77" w:line="362" w:lineRule="auto"/>
        <w:ind w:left="366" w:right="167"/>
        <w:jc w:val="both"/>
      </w:pPr>
      <w:r>
        <w:lastRenderedPageBreak/>
        <w:t>embargo, como el derecho a la salud tiene una dimensión colectiva, el Estado está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obligación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desarrollar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sanitario</w:t>
      </w:r>
      <w:r>
        <w:rPr>
          <w:spacing w:val="-6"/>
        </w:rPr>
        <w:t xml:space="preserve"> </w:t>
      </w:r>
      <w:r>
        <w:t>adecuado.</w:t>
      </w:r>
    </w:p>
    <w:p w14:paraId="21F21DD6" w14:textId="77777777" w:rsidR="00042655" w:rsidRDefault="00042655">
      <w:pPr>
        <w:pStyle w:val="Textoindependiente"/>
        <w:spacing w:before="9"/>
        <w:rPr>
          <w:sz w:val="35"/>
        </w:rPr>
      </w:pPr>
    </w:p>
    <w:p w14:paraId="606F56E8" w14:textId="77777777" w:rsidR="00042655" w:rsidRDefault="00BB5C01">
      <w:pPr>
        <w:pStyle w:val="Textoindependiente"/>
        <w:spacing w:line="360" w:lineRule="auto"/>
        <w:ind w:left="366" w:right="166"/>
        <w:jc w:val="both"/>
      </w:pPr>
      <w:r>
        <w:t>Aunado a lo anterior, la reconstrucción del Hospital “San Alejandro” tiene el potencial de benefic</w:t>
      </w:r>
      <w:r>
        <w:t>iar a los habitantes de la zona metropolitana, pudiendo brindar atención de alta especialidad y aportando camas de terapia intensiva que podrían ser útiles en caso de una extensión de la emergencia sanitaria en el Estado de Puebla. Además, tiene el benefic</w:t>
      </w:r>
      <w:r>
        <w:t>io de reactivar el comercio en la zona aledaña al predio donde se encuentra el Hospital “San Alejandro”, lo cual puede contribuir a la reactivación económica en la Ciudad de Puebla.</w:t>
      </w:r>
    </w:p>
    <w:p w14:paraId="2A65FD04" w14:textId="77777777" w:rsidR="00042655" w:rsidRDefault="00042655">
      <w:pPr>
        <w:pStyle w:val="Textoindependiente"/>
        <w:spacing w:before="3"/>
        <w:rPr>
          <w:sz w:val="36"/>
        </w:rPr>
      </w:pPr>
    </w:p>
    <w:p w14:paraId="25A84A29" w14:textId="77777777" w:rsidR="00042655" w:rsidRDefault="00BB5C01">
      <w:pPr>
        <w:pStyle w:val="Textoindependiente"/>
        <w:spacing w:before="1" w:line="360" w:lineRule="auto"/>
        <w:ind w:left="366" w:right="167"/>
        <w:jc w:val="both"/>
      </w:pPr>
      <w:r>
        <w:t xml:space="preserve">Es por ello </w:t>
      </w:r>
      <w:proofErr w:type="gramStart"/>
      <w:r>
        <w:t>que</w:t>
      </w:r>
      <w:proofErr w:type="gramEnd"/>
      <w:r>
        <w:t xml:space="preserve">, con fundamento en lo dispuesto en los artículos 63 y 64 </w:t>
      </w:r>
      <w:r>
        <w:t>de la Constitución del Estado de Puebla, presento a esta soberanía la siguiente</w:t>
      </w:r>
    </w:p>
    <w:p w14:paraId="4431DA37" w14:textId="77777777" w:rsidR="00042655" w:rsidRDefault="00BB5C01">
      <w:pPr>
        <w:pStyle w:val="Textoindependiente"/>
        <w:spacing w:line="290" w:lineRule="exact"/>
        <w:ind w:left="193"/>
        <w:jc w:val="both"/>
      </w:pPr>
      <w:r>
        <w:t>proposición de:</w:t>
      </w:r>
    </w:p>
    <w:p w14:paraId="478D4938" w14:textId="77777777" w:rsidR="00042655" w:rsidRDefault="00042655">
      <w:pPr>
        <w:pStyle w:val="Textoindependiente"/>
        <w:rPr>
          <w:sz w:val="28"/>
        </w:rPr>
      </w:pPr>
    </w:p>
    <w:p w14:paraId="123ED000" w14:textId="77777777" w:rsidR="00042655" w:rsidRDefault="00BB5C01">
      <w:pPr>
        <w:pStyle w:val="Ttulo1"/>
        <w:spacing w:before="246"/>
        <w:ind w:right="1777"/>
      </w:pPr>
      <w:r>
        <w:t>PUNTO DE ACUERDO</w:t>
      </w:r>
    </w:p>
    <w:p w14:paraId="0EBE3DA2" w14:textId="77777777" w:rsidR="00042655" w:rsidRDefault="00042655">
      <w:pPr>
        <w:pStyle w:val="Textoindependiente"/>
        <w:rPr>
          <w:b/>
          <w:sz w:val="28"/>
        </w:rPr>
      </w:pPr>
    </w:p>
    <w:p w14:paraId="334F3B15" w14:textId="77777777" w:rsidR="00042655" w:rsidRDefault="00BB5C01">
      <w:pPr>
        <w:spacing w:before="242" w:line="360" w:lineRule="auto"/>
        <w:ind w:left="108" w:right="167"/>
        <w:jc w:val="both"/>
        <w:rPr>
          <w:b/>
          <w:sz w:val="24"/>
        </w:rPr>
      </w:pPr>
      <w:r>
        <w:rPr>
          <w:b/>
          <w:sz w:val="24"/>
        </w:rPr>
        <w:t>ÚNICO: SE EXHORTA A LA CÁMARA DE DIPUTADOS DEL HONORABLE CONGRESO DE LA UNIÓN A INCLUIR DENTRO DEL PRESUPUESTO DE EGRESOS DE LA FEDERACIÓN PA</w:t>
      </w:r>
      <w:r>
        <w:rPr>
          <w:b/>
          <w:sz w:val="24"/>
        </w:rPr>
        <w:t>RA EL EJERCICIO 2021 LA CONSTRUCCIÓN DEL HOSPITAL GENERAL REGIONAL NO. 36 DE SAN ALEJANDRO EN LA CIUDAD DE PUEBLA</w:t>
      </w:r>
    </w:p>
    <w:p w14:paraId="019A5632" w14:textId="77777777" w:rsidR="00042655" w:rsidRDefault="00042655">
      <w:pPr>
        <w:pStyle w:val="Textoindependiente"/>
        <w:rPr>
          <w:b/>
          <w:sz w:val="36"/>
        </w:rPr>
      </w:pPr>
    </w:p>
    <w:p w14:paraId="18E96D2B" w14:textId="77777777" w:rsidR="00042655" w:rsidRDefault="00BB5C01">
      <w:pPr>
        <w:spacing w:line="360" w:lineRule="auto"/>
        <w:ind w:left="1719" w:right="1787"/>
        <w:jc w:val="center"/>
        <w:rPr>
          <w:b/>
          <w:sz w:val="24"/>
        </w:rPr>
      </w:pPr>
      <w:r>
        <w:rPr>
          <w:b/>
          <w:sz w:val="24"/>
        </w:rPr>
        <w:t>Palacio Legislativo, Cuatro Veces Heroica Puebla de Zaragoza, septiembre de 2020</w:t>
      </w:r>
    </w:p>
    <w:p w14:paraId="4E0DDC85" w14:textId="77777777" w:rsidR="00042655" w:rsidRDefault="00042655">
      <w:pPr>
        <w:pStyle w:val="Textoindependiente"/>
        <w:rPr>
          <w:b/>
          <w:sz w:val="20"/>
        </w:rPr>
      </w:pPr>
    </w:p>
    <w:p w14:paraId="04D1ADC1" w14:textId="77777777" w:rsidR="00042655" w:rsidRDefault="00BB5C01">
      <w:pPr>
        <w:pStyle w:val="Textoindependiente"/>
        <w:spacing w:before="6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32121B2" wp14:editId="6916830D">
            <wp:simplePos x="0" y="0"/>
            <wp:positionH relativeFrom="page">
              <wp:posOffset>3309897</wp:posOffset>
            </wp:positionH>
            <wp:positionV relativeFrom="paragraph">
              <wp:posOffset>152242</wp:posOffset>
            </wp:positionV>
            <wp:extent cx="855108" cy="4339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108" cy="433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36F38" w14:textId="77777777" w:rsidR="00042655" w:rsidRDefault="00042655">
      <w:pPr>
        <w:pStyle w:val="Textoindependiente"/>
        <w:rPr>
          <w:b/>
          <w:sz w:val="28"/>
        </w:rPr>
      </w:pPr>
    </w:p>
    <w:p w14:paraId="4DCEBAB1" w14:textId="77777777" w:rsidR="00042655" w:rsidRDefault="00042655">
      <w:pPr>
        <w:pStyle w:val="Textoindependiente"/>
        <w:spacing w:before="2"/>
        <w:rPr>
          <w:b/>
          <w:sz w:val="29"/>
        </w:rPr>
      </w:pPr>
    </w:p>
    <w:p w14:paraId="0EDD022E" w14:textId="77777777" w:rsidR="00042655" w:rsidRDefault="00BB5C01">
      <w:pPr>
        <w:ind w:left="1719" w:right="1786"/>
        <w:jc w:val="center"/>
        <w:rPr>
          <w:b/>
          <w:sz w:val="24"/>
        </w:rPr>
      </w:pPr>
      <w:r>
        <w:rPr>
          <w:b/>
          <w:sz w:val="24"/>
        </w:rPr>
        <w:t>Diputado José Juan Espinosa Torres</w:t>
      </w:r>
    </w:p>
    <w:sectPr w:rsidR="00042655">
      <w:pgSz w:w="12240" w:h="15840"/>
      <w:pgMar w:top="110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55"/>
    <w:rsid w:val="00042655"/>
    <w:rsid w:val="00B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08ED2"/>
  <w15:docId w15:val="{59EA6D07-24B6-4642-BC6C-58D86D23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71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Pérez</dc:creator>
  <cp:lastModifiedBy>Silvia Pérez</cp:lastModifiedBy>
  <cp:revision>2</cp:revision>
  <dcterms:created xsi:type="dcterms:W3CDTF">2020-09-15T02:27:00Z</dcterms:created>
  <dcterms:modified xsi:type="dcterms:W3CDTF">2020-09-15T02:27:00Z</dcterms:modified>
</cp:coreProperties>
</file>