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6058B" w14:textId="77777777" w:rsidR="007528D6" w:rsidRDefault="00313C27">
      <w:pPr>
        <w:pStyle w:val="Ttulo1"/>
        <w:spacing w:before="90"/>
      </w:pPr>
      <w:r>
        <w:t>CC. DIPUTADOS</w:t>
      </w:r>
    </w:p>
    <w:p w14:paraId="451F9657" w14:textId="77777777" w:rsidR="007528D6" w:rsidRDefault="00313C27">
      <w:pPr>
        <w:spacing w:before="147"/>
        <w:ind w:left="102"/>
        <w:rPr>
          <w:b/>
          <w:sz w:val="24"/>
        </w:rPr>
      </w:pPr>
      <w:r>
        <w:rPr>
          <w:b/>
          <w:sz w:val="24"/>
        </w:rPr>
        <w:t>INTEGRANTES DE LA MESA DIRECTIVA</w:t>
      </w:r>
    </w:p>
    <w:p w14:paraId="67D7505C" w14:textId="77777777" w:rsidR="007528D6" w:rsidRDefault="00313C27">
      <w:pPr>
        <w:spacing w:before="147" w:line="360" w:lineRule="auto"/>
        <w:ind w:left="102" w:right="3025"/>
        <w:rPr>
          <w:b/>
          <w:sz w:val="24"/>
        </w:rPr>
      </w:pPr>
      <w:r>
        <w:rPr>
          <w:b/>
          <w:sz w:val="24"/>
        </w:rPr>
        <w:t>DE LA LX LEGISLATURA DEL HONORABLE CONGRESO DEL ESTADO LIBRE Y SOBERANO DE PUEBLA</w:t>
      </w:r>
    </w:p>
    <w:p w14:paraId="4A32C192" w14:textId="77777777" w:rsidR="007528D6" w:rsidRDefault="007528D6">
      <w:pPr>
        <w:pStyle w:val="Textoindependiente"/>
        <w:rPr>
          <w:b/>
          <w:sz w:val="28"/>
        </w:rPr>
      </w:pPr>
    </w:p>
    <w:p w14:paraId="1838EA50" w14:textId="77777777" w:rsidR="007528D6" w:rsidRDefault="007528D6">
      <w:pPr>
        <w:pStyle w:val="Textoindependiente"/>
        <w:rPr>
          <w:b/>
          <w:sz w:val="28"/>
        </w:rPr>
      </w:pPr>
    </w:p>
    <w:p w14:paraId="5A81C498" w14:textId="77777777" w:rsidR="007528D6" w:rsidRDefault="00313C27">
      <w:pPr>
        <w:spacing w:before="198"/>
        <w:ind w:left="102"/>
        <w:rPr>
          <w:b/>
          <w:sz w:val="24"/>
        </w:rPr>
      </w:pPr>
      <w:r>
        <w:rPr>
          <w:b/>
          <w:sz w:val="24"/>
        </w:rPr>
        <w:t>PRESENTE</w:t>
      </w:r>
    </w:p>
    <w:p w14:paraId="3F5FEAA3" w14:textId="77777777" w:rsidR="007528D6" w:rsidRDefault="007528D6">
      <w:pPr>
        <w:pStyle w:val="Textoindependiente"/>
        <w:spacing w:before="6"/>
        <w:rPr>
          <w:b/>
          <w:sz w:val="36"/>
        </w:rPr>
      </w:pPr>
    </w:p>
    <w:p w14:paraId="5DB94CE0" w14:textId="77777777" w:rsidR="007528D6" w:rsidRDefault="00313C27">
      <w:pPr>
        <w:spacing w:line="360" w:lineRule="auto"/>
        <w:ind w:left="102" w:right="114"/>
        <w:jc w:val="both"/>
        <w:rPr>
          <w:b/>
          <w:sz w:val="24"/>
        </w:rPr>
      </w:pPr>
      <w:r>
        <w:rPr>
          <w:sz w:val="24"/>
        </w:rPr>
        <w:t xml:space="preserve">La que suscribe </w:t>
      </w:r>
      <w:r>
        <w:rPr>
          <w:b/>
          <w:sz w:val="24"/>
        </w:rPr>
        <w:t>Diputada Iliana Paola Ruíz García</w:t>
      </w:r>
      <w:r>
        <w:rPr>
          <w:sz w:val="24"/>
        </w:rPr>
        <w:t>, integrante del Grupo Legislativo del Partido de MORENA, con fundamento en lo dispuesto por los artículos 56 y 69 de la Constitución Política del Estado Libre y Soberano de Puebla; 2 fracción XIX; 44 fracción II, 84, 134, 135 y 151 de la Ley Orgánica del</w:t>
      </w:r>
      <w:r>
        <w:rPr>
          <w:spacing w:val="-6"/>
          <w:sz w:val="24"/>
        </w:rPr>
        <w:t xml:space="preserve"> </w:t>
      </w:r>
      <w:r>
        <w:rPr>
          <w:sz w:val="24"/>
        </w:rPr>
        <w:t>Poder</w:t>
      </w:r>
      <w:r>
        <w:rPr>
          <w:spacing w:val="-8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Estado</w:t>
      </w:r>
      <w:r>
        <w:rPr>
          <w:spacing w:val="-9"/>
          <w:sz w:val="24"/>
        </w:rPr>
        <w:t xml:space="preserve"> </w:t>
      </w:r>
      <w:r>
        <w:rPr>
          <w:sz w:val="24"/>
        </w:rPr>
        <w:t>Libre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Soberano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Puebla;</w:t>
      </w:r>
      <w:r>
        <w:rPr>
          <w:spacing w:val="-6"/>
          <w:sz w:val="24"/>
        </w:rPr>
        <w:t xml:space="preserve"> </w:t>
      </w:r>
      <w:r>
        <w:rPr>
          <w:sz w:val="24"/>
        </w:rPr>
        <w:t>120</w:t>
      </w:r>
      <w:r>
        <w:rPr>
          <w:spacing w:val="-9"/>
          <w:sz w:val="24"/>
        </w:rPr>
        <w:t xml:space="preserve"> </w:t>
      </w:r>
      <w:r>
        <w:rPr>
          <w:sz w:val="24"/>
        </w:rPr>
        <w:t>fracción</w:t>
      </w:r>
      <w:r>
        <w:rPr>
          <w:spacing w:val="-5"/>
          <w:sz w:val="24"/>
        </w:rPr>
        <w:t xml:space="preserve"> </w:t>
      </w:r>
      <w:r>
        <w:rPr>
          <w:sz w:val="24"/>
        </w:rPr>
        <w:t>VI, 121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146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Reglamento</w:t>
      </w:r>
      <w:r>
        <w:rPr>
          <w:spacing w:val="-8"/>
          <w:sz w:val="24"/>
        </w:rPr>
        <w:t xml:space="preserve"> </w:t>
      </w:r>
      <w:r>
        <w:rPr>
          <w:sz w:val="24"/>
        </w:rPr>
        <w:t>Interior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Honorable</w:t>
      </w:r>
      <w:r>
        <w:rPr>
          <w:spacing w:val="-6"/>
          <w:sz w:val="24"/>
        </w:rPr>
        <w:t xml:space="preserve"> </w:t>
      </w:r>
      <w:r>
        <w:rPr>
          <w:sz w:val="24"/>
        </w:rPr>
        <w:t>Congreso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Estado</w:t>
      </w:r>
      <w:r>
        <w:rPr>
          <w:spacing w:val="-8"/>
          <w:sz w:val="24"/>
        </w:rPr>
        <w:t xml:space="preserve"> </w:t>
      </w:r>
      <w:r>
        <w:rPr>
          <w:sz w:val="24"/>
        </w:rPr>
        <w:t>Libre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y Soberano de Puebla, sometemos a consideración de este Honorable Cuerpo Colegiado el siguiente </w:t>
      </w:r>
      <w:r>
        <w:rPr>
          <w:b/>
          <w:sz w:val="24"/>
        </w:rPr>
        <w:t>PUNTO DE ACU</w:t>
      </w:r>
      <w:r>
        <w:rPr>
          <w:b/>
          <w:sz w:val="24"/>
        </w:rPr>
        <w:t>ERDO POR EL QUE SE EXHORTA RESPETUOSAMENTE A LOS 217 AYUNTAMIENTOS DEL ESTADO DE PUEBLA, PARA QUE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MEDIDA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SUS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ATRIBUCIONES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REALICEN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CAMPAÑAS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SUPERVISIÓN 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INSPECCIÓN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EVITAR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COMERCIALIZACIÓN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BEBIDAS</w:t>
      </w:r>
    </w:p>
    <w:p w14:paraId="28C7092A" w14:textId="77777777" w:rsidR="007528D6" w:rsidRDefault="00313C27">
      <w:pPr>
        <w:ind w:left="102"/>
        <w:jc w:val="both"/>
        <w:rPr>
          <w:sz w:val="24"/>
        </w:rPr>
      </w:pPr>
      <w:r>
        <w:rPr>
          <w:b/>
          <w:sz w:val="24"/>
        </w:rPr>
        <w:t xml:space="preserve">ADULTERADAS, </w:t>
      </w:r>
      <w:r>
        <w:rPr>
          <w:sz w:val="24"/>
        </w:rPr>
        <w:t>al tenor de lo siguiente:</w:t>
      </w:r>
    </w:p>
    <w:p w14:paraId="76B75749" w14:textId="77777777" w:rsidR="007528D6" w:rsidRDefault="007528D6">
      <w:pPr>
        <w:pStyle w:val="Textoindependiente"/>
        <w:rPr>
          <w:sz w:val="28"/>
        </w:rPr>
      </w:pPr>
    </w:p>
    <w:p w14:paraId="729C9336" w14:textId="77777777" w:rsidR="007528D6" w:rsidRDefault="007528D6">
      <w:pPr>
        <w:pStyle w:val="Textoindependiente"/>
        <w:rPr>
          <w:sz w:val="28"/>
        </w:rPr>
      </w:pPr>
    </w:p>
    <w:p w14:paraId="7BC87D05" w14:textId="77777777" w:rsidR="007528D6" w:rsidRDefault="00313C27">
      <w:pPr>
        <w:pStyle w:val="Ttulo1"/>
        <w:spacing w:before="203"/>
        <w:ind w:left="1721" w:right="1736"/>
        <w:jc w:val="center"/>
      </w:pPr>
      <w:r>
        <w:t>C O N S I D E R A N D O</w:t>
      </w:r>
      <w:r>
        <w:rPr>
          <w:spacing w:val="66"/>
        </w:rPr>
        <w:t xml:space="preserve"> </w:t>
      </w:r>
      <w:r>
        <w:t>S</w:t>
      </w:r>
    </w:p>
    <w:p w14:paraId="55711324" w14:textId="77777777" w:rsidR="007528D6" w:rsidRDefault="007528D6">
      <w:pPr>
        <w:pStyle w:val="Textoindependiente"/>
        <w:rPr>
          <w:b/>
          <w:sz w:val="28"/>
        </w:rPr>
      </w:pPr>
    </w:p>
    <w:p w14:paraId="6DF81C53" w14:textId="77777777" w:rsidR="007528D6" w:rsidRDefault="00313C27">
      <w:pPr>
        <w:pStyle w:val="Textoindependiente"/>
        <w:spacing w:before="243" w:line="360" w:lineRule="auto"/>
        <w:ind w:left="102" w:right="114"/>
        <w:jc w:val="both"/>
      </w:pPr>
      <w:r>
        <w:t>A</w:t>
      </w:r>
      <w:r>
        <w:rPr>
          <w:spacing w:val="-8"/>
        </w:rPr>
        <w:t xml:space="preserve"> </w:t>
      </w:r>
      <w:r>
        <w:t>consecuencia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terribles</w:t>
      </w:r>
      <w:r>
        <w:rPr>
          <w:spacing w:val="-7"/>
        </w:rPr>
        <w:t xml:space="preserve"> </w:t>
      </w:r>
      <w:r>
        <w:t>acontecimientos</w:t>
      </w:r>
      <w:r>
        <w:rPr>
          <w:spacing w:val="-4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siguen</w:t>
      </w:r>
      <w:r>
        <w:rPr>
          <w:spacing w:val="-7"/>
        </w:rPr>
        <w:t xml:space="preserve"> </w:t>
      </w:r>
      <w:r>
        <w:t>suscitando</w:t>
      </w:r>
      <w:r>
        <w:rPr>
          <w:spacing w:val="-6"/>
        </w:rPr>
        <w:t xml:space="preserve"> </w:t>
      </w:r>
      <w:r>
        <w:t>a causa del consumo de bebidas alcohólicas adulteradas y que como antecedente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gramStart"/>
      <w:r>
        <w:t>Mayo</w:t>
      </w:r>
      <w:proofErr w:type="gramEnd"/>
      <w:r>
        <w:rPr>
          <w:spacing w:val="-4"/>
        </w:rPr>
        <w:t xml:space="preserve"> </w:t>
      </w:r>
      <w:r>
        <w:t>donde</w:t>
      </w:r>
      <w:r>
        <w:rPr>
          <w:spacing w:val="-7"/>
        </w:rPr>
        <w:t xml:space="preserve"> </w:t>
      </w:r>
      <w:r>
        <w:t>Setenta</w:t>
      </w:r>
      <w:r>
        <w:rPr>
          <w:spacing w:val="-5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perdieron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vida a causa del consumo de las mismas, cifras emitidas por parte del gobierno estatal</w:t>
      </w:r>
      <w:r>
        <w:rPr>
          <w:spacing w:val="-5"/>
        </w:rPr>
        <w:t xml:space="preserve"> </w:t>
      </w:r>
      <w:r>
        <w:t>donde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registraron</w:t>
      </w:r>
      <w:r>
        <w:rPr>
          <w:spacing w:val="-10"/>
        </w:rPr>
        <w:t xml:space="preserve"> </w:t>
      </w:r>
      <w:r>
        <w:t>intoxicados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nueve</w:t>
      </w:r>
      <w:r>
        <w:rPr>
          <w:spacing w:val="-10"/>
        </w:rPr>
        <w:t xml:space="preserve"> </w:t>
      </w:r>
      <w:r>
        <w:t>municipios,</w:t>
      </w:r>
      <w:r>
        <w:rPr>
          <w:spacing w:val="-13"/>
        </w:rPr>
        <w:t xml:space="preserve"> </w:t>
      </w:r>
      <w:r>
        <w:t>lista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cual se suman Huauchinango, Tepexi de Rodríguez y Huejotzingo a los que ya</w:t>
      </w:r>
      <w:r>
        <w:rPr>
          <w:spacing w:val="-10"/>
        </w:rPr>
        <w:t xml:space="preserve"> </w:t>
      </w:r>
      <w:r>
        <w:t>se</w:t>
      </w:r>
    </w:p>
    <w:p w14:paraId="62638A98" w14:textId="77777777" w:rsidR="007528D6" w:rsidRDefault="007528D6">
      <w:pPr>
        <w:spacing w:line="360" w:lineRule="auto"/>
        <w:jc w:val="both"/>
        <w:sectPr w:rsidR="007528D6">
          <w:headerReference w:type="default" r:id="rId7"/>
          <w:footerReference w:type="default" r:id="rId8"/>
          <w:type w:val="continuous"/>
          <w:pgSz w:w="12240" w:h="15840"/>
          <w:pgMar w:top="1320" w:right="1580" w:bottom="1060" w:left="1600" w:header="114" w:footer="863" w:gutter="0"/>
          <w:cols w:space="720"/>
        </w:sectPr>
      </w:pPr>
    </w:p>
    <w:p w14:paraId="1FC8DF88" w14:textId="77777777" w:rsidR="007528D6" w:rsidRDefault="00313C27">
      <w:pPr>
        <w:pStyle w:val="Textoindependiente"/>
        <w:spacing w:before="90" w:line="360" w:lineRule="auto"/>
        <w:ind w:left="102" w:right="117"/>
        <w:jc w:val="both"/>
      </w:pPr>
      <w:r>
        <w:lastRenderedPageBreak/>
        <w:t xml:space="preserve">habían registrado en </w:t>
      </w:r>
      <w:proofErr w:type="spellStart"/>
      <w:r>
        <w:t>Chiconcuautla</w:t>
      </w:r>
      <w:proofErr w:type="spellEnd"/>
      <w:r>
        <w:t>, Huaquechula, Xochitlán Todos</w:t>
      </w:r>
      <w:r>
        <w:rPr>
          <w:spacing w:val="-39"/>
        </w:rPr>
        <w:t xml:space="preserve"> </w:t>
      </w:r>
      <w:r>
        <w:t>Santos, Zacatlán, Chignahuapan y Puebla</w:t>
      </w:r>
      <w:r>
        <w:rPr>
          <w:spacing w:val="-5"/>
        </w:rPr>
        <w:t xml:space="preserve"> </w:t>
      </w:r>
      <w:r>
        <w:t>capital.</w:t>
      </w:r>
    </w:p>
    <w:p w14:paraId="783436F9" w14:textId="77777777" w:rsidR="007528D6" w:rsidRDefault="00313C27">
      <w:pPr>
        <w:pStyle w:val="Textoindependiente"/>
        <w:spacing w:line="360" w:lineRule="auto"/>
        <w:ind w:left="102" w:right="120"/>
        <w:jc w:val="both"/>
      </w:pPr>
      <w:r>
        <w:t>Así mismo en el municipio de San Salvador el Seco en el Mes de</w:t>
      </w:r>
      <w:r>
        <w:rPr>
          <w:spacing w:val="-45"/>
        </w:rPr>
        <w:t xml:space="preserve"> </w:t>
      </w:r>
      <w:r>
        <w:t>Septiembre se registraron tres muertes más por intoxicación a causa de la ingesta de la bebida que lleva por nombre comercial “Rancho Escondido”</w:t>
      </w:r>
      <w:r>
        <w:t>, de los</w:t>
      </w:r>
      <w:r>
        <w:rPr>
          <w:spacing w:val="-36"/>
        </w:rPr>
        <w:t xml:space="preserve"> </w:t>
      </w:r>
      <w:r>
        <w:t xml:space="preserve">cuales dos eran de sexo masculino de aproximadamente veinticinco años y una fémina de aproximadamente veintidós </w:t>
      </w:r>
      <w:proofErr w:type="gramStart"/>
      <w:r>
        <w:t>años de</w:t>
      </w:r>
      <w:r>
        <w:rPr>
          <w:spacing w:val="-7"/>
        </w:rPr>
        <w:t xml:space="preserve"> </w:t>
      </w:r>
      <w:r>
        <w:t>edad</w:t>
      </w:r>
      <w:proofErr w:type="gramEnd"/>
      <w:r>
        <w:t>.</w:t>
      </w:r>
    </w:p>
    <w:p w14:paraId="062DF51B" w14:textId="77777777" w:rsidR="007528D6" w:rsidRDefault="00313C27">
      <w:pPr>
        <w:pStyle w:val="Textoindependiente"/>
        <w:spacing w:before="2" w:line="360" w:lineRule="auto"/>
        <w:ind w:left="102" w:right="120"/>
        <w:jc w:val="both"/>
      </w:pPr>
      <w:r>
        <w:t>El</w:t>
      </w:r>
      <w:r>
        <w:rPr>
          <w:spacing w:val="-16"/>
        </w:rPr>
        <w:t xml:space="preserve"> </w:t>
      </w:r>
      <w:r>
        <w:t>numeral</w:t>
      </w:r>
      <w:r>
        <w:rPr>
          <w:spacing w:val="-15"/>
        </w:rPr>
        <w:t xml:space="preserve"> </w:t>
      </w:r>
      <w:r>
        <w:t>cuarto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Constitución</w:t>
      </w:r>
      <w:r>
        <w:rPr>
          <w:spacing w:val="-17"/>
        </w:rPr>
        <w:t xml:space="preserve"> </w:t>
      </w:r>
      <w:r>
        <w:t>Política</w:t>
      </w:r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Estados</w:t>
      </w:r>
      <w:r>
        <w:rPr>
          <w:spacing w:val="-17"/>
        </w:rPr>
        <w:t xml:space="preserve"> </w:t>
      </w:r>
      <w:r>
        <w:t>Unidos</w:t>
      </w:r>
      <w:r>
        <w:rPr>
          <w:spacing w:val="-17"/>
        </w:rPr>
        <w:t xml:space="preserve"> </w:t>
      </w:r>
      <w:r>
        <w:t>Mexicanos señala que Todas las personas deben poder ejercer el derecho a la salud, sin discriminación por motivos de raza, edad, pertenencia a grupo étnico u otra condición y que es obligación del estado garantizar el mismo a través de políticas públicas y</w:t>
      </w:r>
      <w:r>
        <w:t xml:space="preserve"> medidas que respondan a las necesidades de la población como la prevención y atención de</w:t>
      </w:r>
      <w:r>
        <w:rPr>
          <w:spacing w:val="-13"/>
        </w:rPr>
        <w:t xml:space="preserve"> </w:t>
      </w:r>
      <w:r>
        <w:t>enfermedades.</w:t>
      </w:r>
    </w:p>
    <w:p w14:paraId="2C20D005" w14:textId="77777777" w:rsidR="007528D6" w:rsidRDefault="00313C27">
      <w:pPr>
        <w:pStyle w:val="Textoindependiente"/>
        <w:spacing w:line="360" w:lineRule="auto"/>
        <w:ind w:left="102" w:right="120"/>
        <w:jc w:val="both"/>
      </w:pPr>
      <w:r>
        <w:t xml:space="preserve">Por otro </w:t>
      </w:r>
      <w:proofErr w:type="gramStart"/>
      <w:r>
        <w:t>lado</w:t>
      </w:r>
      <w:proofErr w:type="gramEnd"/>
      <w:r>
        <w:t xml:space="preserve"> la Ley Orgánica Municipal nos señala en su art. 78 Fracción LXV.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atribuciones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ayuntamientos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otorgar,</w:t>
      </w:r>
      <w:r>
        <w:rPr>
          <w:spacing w:val="-8"/>
        </w:rPr>
        <w:t xml:space="preserve"> </w:t>
      </w:r>
      <w:r>
        <w:t>previos</w:t>
      </w:r>
      <w:r>
        <w:rPr>
          <w:spacing w:val="-6"/>
        </w:rPr>
        <w:t xml:space="preserve"> </w:t>
      </w:r>
      <w:r>
        <w:t xml:space="preserve">requisitos </w:t>
      </w:r>
      <w:r>
        <w:t>de ley, las licencias o permisos provisionales para venta y suministro de bebidas</w:t>
      </w:r>
      <w:r>
        <w:rPr>
          <w:spacing w:val="-11"/>
        </w:rPr>
        <w:t xml:space="preserve"> </w:t>
      </w:r>
      <w:r>
        <w:t>alcohólicas,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otro</w:t>
      </w:r>
      <w:r>
        <w:rPr>
          <w:spacing w:val="-12"/>
        </w:rPr>
        <w:t xml:space="preserve"> </w:t>
      </w:r>
      <w:r>
        <w:t>lado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Venta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Suministro</w:t>
      </w:r>
      <w:r>
        <w:rPr>
          <w:spacing w:val="-13"/>
        </w:rPr>
        <w:t xml:space="preserve"> </w:t>
      </w:r>
      <w:r>
        <w:t>de Bebidas Alcohólicas del Estado de Puebla en su señala lo</w:t>
      </w:r>
      <w:r>
        <w:rPr>
          <w:spacing w:val="-18"/>
        </w:rPr>
        <w:t xml:space="preserve"> </w:t>
      </w:r>
      <w:r>
        <w:t>siguiente:</w:t>
      </w:r>
    </w:p>
    <w:p w14:paraId="01D92709" w14:textId="77777777" w:rsidR="007528D6" w:rsidRDefault="007528D6">
      <w:pPr>
        <w:pStyle w:val="Textoindependiente"/>
        <w:spacing w:before="8"/>
        <w:rPr>
          <w:sz w:val="35"/>
        </w:rPr>
      </w:pPr>
    </w:p>
    <w:p w14:paraId="02BB483C" w14:textId="77777777" w:rsidR="007528D6" w:rsidRDefault="00313C27">
      <w:pPr>
        <w:spacing w:line="364" w:lineRule="auto"/>
        <w:ind w:left="102" w:right="121" w:firstLine="707"/>
        <w:jc w:val="both"/>
        <w:rPr>
          <w:i/>
          <w:sz w:val="24"/>
        </w:rPr>
      </w:pPr>
      <w:r>
        <w:rPr>
          <w:b/>
          <w:i/>
          <w:sz w:val="24"/>
        </w:rPr>
        <w:t xml:space="preserve">Artículo 9: </w:t>
      </w:r>
      <w:r>
        <w:rPr>
          <w:i/>
          <w:sz w:val="24"/>
        </w:rPr>
        <w:t>Corresponde a los Ayuntamientos en el ámbito de sus atribuciones y competencias:</w:t>
      </w:r>
    </w:p>
    <w:p w14:paraId="65CECF9B" w14:textId="77777777" w:rsidR="007528D6" w:rsidRDefault="00313C27">
      <w:pPr>
        <w:pStyle w:val="Prrafodelista"/>
        <w:numPr>
          <w:ilvl w:val="0"/>
          <w:numId w:val="1"/>
        </w:numPr>
        <w:tabs>
          <w:tab w:val="left" w:pos="1151"/>
        </w:tabs>
        <w:spacing w:line="360" w:lineRule="auto"/>
        <w:ind w:right="115" w:firstLine="707"/>
        <w:jc w:val="both"/>
        <w:rPr>
          <w:i/>
          <w:sz w:val="24"/>
        </w:rPr>
      </w:pPr>
      <w:r>
        <w:rPr>
          <w:i/>
          <w:sz w:val="24"/>
        </w:rPr>
        <w:t>Autorizar, negar, vigilar y revocar las licencias o permisos provisionales para la venta y el suministro de bebidas alcohólicas de conformidad con la presente Ley, su reglamen</w:t>
      </w:r>
      <w:r>
        <w:rPr>
          <w:i/>
          <w:sz w:val="24"/>
        </w:rPr>
        <w:t>to y los ordenamientos municipales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aplicables.</w:t>
      </w:r>
    </w:p>
    <w:p w14:paraId="49FF6BC8" w14:textId="77777777" w:rsidR="007528D6" w:rsidRDefault="00313C27">
      <w:pPr>
        <w:pStyle w:val="Prrafodelista"/>
        <w:numPr>
          <w:ilvl w:val="0"/>
          <w:numId w:val="1"/>
        </w:numPr>
        <w:tabs>
          <w:tab w:val="left" w:pos="1091"/>
        </w:tabs>
        <w:spacing w:line="360" w:lineRule="auto"/>
        <w:ind w:firstLine="707"/>
        <w:jc w:val="both"/>
        <w:rPr>
          <w:i/>
          <w:sz w:val="24"/>
        </w:rPr>
      </w:pPr>
      <w:r>
        <w:rPr>
          <w:i/>
          <w:sz w:val="24"/>
        </w:rPr>
        <w:t>Los establecimientos donde puede realizarse la venta, más no el consumo de bebidas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alcohólicas;</w:t>
      </w:r>
    </w:p>
    <w:p w14:paraId="66D6C13A" w14:textId="77777777" w:rsidR="007528D6" w:rsidRDefault="00313C27">
      <w:pPr>
        <w:pStyle w:val="Prrafodelista"/>
        <w:numPr>
          <w:ilvl w:val="0"/>
          <w:numId w:val="1"/>
        </w:numPr>
        <w:tabs>
          <w:tab w:val="left" w:pos="1117"/>
        </w:tabs>
        <w:spacing w:line="360" w:lineRule="auto"/>
        <w:ind w:right="116" w:firstLine="707"/>
        <w:jc w:val="both"/>
        <w:rPr>
          <w:i/>
          <w:sz w:val="24"/>
        </w:rPr>
      </w:pPr>
      <w:r>
        <w:rPr>
          <w:i/>
          <w:sz w:val="24"/>
        </w:rPr>
        <w:t>Los establecimientos no específicos, en los cuales puede realizarse en forma accesoria la venta y consumo de bebi</w:t>
      </w:r>
      <w:r>
        <w:rPr>
          <w:i/>
          <w:sz w:val="24"/>
        </w:rPr>
        <w:t>das alcohólicas;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y</w:t>
      </w:r>
    </w:p>
    <w:p w14:paraId="57BFCBA6" w14:textId="77777777" w:rsidR="007528D6" w:rsidRDefault="007528D6">
      <w:pPr>
        <w:spacing w:line="360" w:lineRule="auto"/>
        <w:jc w:val="both"/>
        <w:rPr>
          <w:sz w:val="24"/>
        </w:rPr>
        <w:sectPr w:rsidR="007528D6">
          <w:pgSz w:w="12240" w:h="15840"/>
          <w:pgMar w:top="1320" w:right="1580" w:bottom="1060" w:left="1600" w:header="114" w:footer="863" w:gutter="0"/>
          <w:cols w:space="720"/>
        </w:sectPr>
      </w:pPr>
    </w:p>
    <w:p w14:paraId="73F489A0" w14:textId="77777777" w:rsidR="007528D6" w:rsidRDefault="00313C27">
      <w:pPr>
        <w:pStyle w:val="Prrafodelista"/>
        <w:numPr>
          <w:ilvl w:val="0"/>
          <w:numId w:val="1"/>
        </w:numPr>
        <w:tabs>
          <w:tab w:val="left" w:pos="1172"/>
        </w:tabs>
        <w:spacing w:before="90" w:line="360" w:lineRule="auto"/>
        <w:ind w:firstLine="707"/>
        <w:rPr>
          <w:i/>
          <w:sz w:val="24"/>
        </w:rPr>
      </w:pPr>
      <w:r>
        <w:rPr>
          <w:i/>
          <w:sz w:val="24"/>
        </w:rPr>
        <w:lastRenderedPageBreak/>
        <w:t>Los establecimientos donde se puede autorizar en forma eventual y transitoria, la venta y consumo de bebidas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alcohólicas.</w:t>
      </w:r>
    </w:p>
    <w:p w14:paraId="0750B5AA" w14:textId="77777777" w:rsidR="007528D6" w:rsidRDefault="00313C27">
      <w:pPr>
        <w:pStyle w:val="Ttulo1"/>
        <w:spacing w:line="360" w:lineRule="auto"/>
        <w:ind w:right="116"/>
        <w:jc w:val="both"/>
      </w:pPr>
      <w:r>
        <w:t>Que, por lo anteriormente expuesto y fundado, se somete a este Honorable Cuerpo Colegiado, el siguiente:</w:t>
      </w:r>
    </w:p>
    <w:p w14:paraId="3E55FC05" w14:textId="77777777" w:rsidR="007528D6" w:rsidRDefault="007528D6">
      <w:pPr>
        <w:pStyle w:val="Textoindependiente"/>
        <w:rPr>
          <w:b/>
          <w:sz w:val="28"/>
        </w:rPr>
      </w:pPr>
    </w:p>
    <w:p w14:paraId="03B22DAD" w14:textId="77777777" w:rsidR="007528D6" w:rsidRDefault="007528D6">
      <w:pPr>
        <w:pStyle w:val="Textoindependiente"/>
        <w:rPr>
          <w:b/>
          <w:sz w:val="28"/>
        </w:rPr>
      </w:pPr>
    </w:p>
    <w:p w14:paraId="658F01DD" w14:textId="77777777" w:rsidR="007528D6" w:rsidRDefault="00313C27">
      <w:pPr>
        <w:spacing w:before="198"/>
        <w:ind w:left="1721" w:right="1736"/>
        <w:jc w:val="center"/>
        <w:rPr>
          <w:b/>
          <w:sz w:val="24"/>
        </w:rPr>
      </w:pPr>
      <w:r>
        <w:rPr>
          <w:b/>
          <w:sz w:val="24"/>
        </w:rPr>
        <w:t>ACUERDO</w:t>
      </w:r>
    </w:p>
    <w:p w14:paraId="3A476815" w14:textId="77777777" w:rsidR="007528D6" w:rsidRDefault="007528D6">
      <w:pPr>
        <w:pStyle w:val="Textoindependiente"/>
        <w:spacing w:before="6"/>
        <w:rPr>
          <w:b/>
          <w:sz w:val="36"/>
        </w:rPr>
      </w:pPr>
    </w:p>
    <w:p w14:paraId="6070BD93" w14:textId="77777777" w:rsidR="007528D6" w:rsidRDefault="00313C27">
      <w:pPr>
        <w:spacing w:line="360" w:lineRule="auto"/>
        <w:ind w:left="102" w:right="117"/>
        <w:jc w:val="both"/>
        <w:rPr>
          <w:b/>
          <w:sz w:val="24"/>
        </w:rPr>
      </w:pPr>
      <w:proofErr w:type="gramStart"/>
      <w:r>
        <w:rPr>
          <w:b/>
          <w:sz w:val="24"/>
        </w:rPr>
        <w:t>PRIMERO.-</w:t>
      </w:r>
      <w:proofErr w:type="gramEnd"/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PUNTO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ACUERDO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EXHORTA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RESPETUOSAMENTE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 LOS 217 AYUNTAMIENTOS DEL ESTADO DE PUEBLA, PARA QUE EN MEDIDA DE SUS ATRIBUCIONES REALICEN CAMPAÑAS DE SUPERVISIÓN E INSPECCIÓN PARA EVITAR LA COMERCIALIZACIÓN DE BEBIDAS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ADULTERADAS,</w:t>
      </w:r>
    </w:p>
    <w:p w14:paraId="6025A956" w14:textId="77777777" w:rsidR="007528D6" w:rsidRDefault="007528D6">
      <w:pPr>
        <w:pStyle w:val="Textoindependiente"/>
        <w:spacing w:before="4"/>
        <w:rPr>
          <w:b/>
        </w:rPr>
      </w:pPr>
    </w:p>
    <w:p w14:paraId="1FDE2887" w14:textId="77777777" w:rsidR="007528D6" w:rsidRDefault="00313C27">
      <w:pPr>
        <w:ind w:left="1721" w:right="1736"/>
        <w:jc w:val="center"/>
        <w:rPr>
          <w:b/>
          <w:sz w:val="24"/>
        </w:rPr>
      </w:pPr>
      <w:proofErr w:type="gramStart"/>
      <w:r>
        <w:rPr>
          <w:b/>
          <w:sz w:val="24"/>
        </w:rPr>
        <w:t>A  T</w:t>
      </w:r>
      <w:proofErr w:type="gramEnd"/>
      <w:r>
        <w:rPr>
          <w:b/>
          <w:sz w:val="24"/>
        </w:rPr>
        <w:t xml:space="preserve">  E  N  T  A  M  E  N  T  E</w:t>
      </w:r>
    </w:p>
    <w:p w14:paraId="28C5862E" w14:textId="77777777" w:rsidR="007528D6" w:rsidRDefault="00313C27">
      <w:pPr>
        <w:spacing w:before="148" w:line="360" w:lineRule="auto"/>
        <w:ind w:left="1721" w:right="1740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575296" behindDoc="1" locked="0" layoutInCell="1" allowOverlap="1" wp14:anchorId="0E16F995" wp14:editId="22718B84">
            <wp:simplePos x="0" y="0"/>
            <wp:positionH relativeFrom="page">
              <wp:posOffset>3108863</wp:posOffset>
            </wp:positionH>
            <wp:positionV relativeFrom="paragraph">
              <wp:posOffset>508007</wp:posOffset>
            </wp:positionV>
            <wp:extent cx="1934742" cy="78092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742" cy="780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CUATRO VECES HEROICA PUEBLA DE ZARA</w:t>
      </w:r>
      <w:r>
        <w:rPr>
          <w:b/>
          <w:sz w:val="24"/>
        </w:rPr>
        <w:t>GOZA, 07 DE OCTUBRE DE 2020</w:t>
      </w:r>
    </w:p>
    <w:p w14:paraId="3CB962F6" w14:textId="77777777" w:rsidR="007528D6" w:rsidRDefault="007528D6">
      <w:pPr>
        <w:pStyle w:val="Textoindependiente"/>
        <w:rPr>
          <w:b/>
          <w:sz w:val="28"/>
        </w:rPr>
      </w:pPr>
    </w:p>
    <w:p w14:paraId="2F163F73" w14:textId="77777777" w:rsidR="007528D6" w:rsidRDefault="007528D6">
      <w:pPr>
        <w:pStyle w:val="Textoindependiente"/>
        <w:rPr>
          <w:b/>
          <w:sz w:val="28"/>
        </w:rPr>
      </w:pPr>
    </w:p>
    <w:p w14:paraId="038CEE94" w14:textId="77777777" w:rsidR="007528D6" w:rsidRDefault="00313C27">
      <w:pPr>
        <w:spacing w:before="197" w:line="360" w:lineRule="auto"/>
        <w:ind w:left="1546" w:right="1547" w:firstLine="1121"/>
        <w:rPr>
          <w:b/>
          <w:sz w:val="24"/>
        </w:rPr>
      </w:pPr>
      <w:r>
        <w:rPr>
          <w:b/>
          <w:sz w:val="24"/>
        </w:rPr>
        <w:t>DIP. ILIANA PAOLA RUÍZ GARCÍA INTEGRANTE DE LA LX LEGISLATURA DEL HONORABLE</w:t>
      </w:r>
    </w:p>
    <w:p w14:paraId="50A96866" w14:textId="77777777" w:rsidR="007528D6" w:rsidRDefault="00313C27">
      <w:pPr>
        <w:spacing w:before="1"/>
        <w:ind w:left="1388"/>
        <w:rPr>
          <w:b/>
          <w:sz w:val="24"/>
        </w:rPr>
      </w:pPr>
      <w:r>
        <w:rPr>
          <w:b/>
          <w:sz w:val="24"/>
        </w:rPr>
        <w:t>CONGRESO DEL ESTADO LIBRE Y SOBERANO DE PUEBLA</w:t>
      </w:r>
    </w:p>
    <w:sectPr w:rsidR="007528D6">
      <w:pgSz w:w="12240" w:h="15840"/>
      <w:pgMar w:top="1320" w:right="1580" w:bottom="1060" w:left="1600" w:header="114" w:footer="8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0E5E4" w14:textId="77777777" w:rsidR="00313C27" w:rsidRDefault="00313C27">
      <w:r>
        <w:separator/>
      </w:r>
    </w:p>
  </w:endnote>
  <w:endnote w:type="continuationSeparator" w:id="0">
    <w:p w14:paraId="5C051963" w14:textId="77777777" w:rsidR="00313C27" w:rsidRDefault="0031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0B72A" w14:textId="77777777" w:rsidR="007528D6" w:rsidRDefault="00313C2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576320" behindDoc="1" locked="0" layoutInCell="1" allowOverlap="1" wp14:anchorId="1BEC961B" wp14:editId="5E473F9B">
          <wp:simplePos x="0" y="0"/>
          <wp:positionH relativeFrom="page">
            <wp:posOffset>2424370</wp:posOffset>
          </wp:positionH>
          <wp:positionV relativeFrom="page">
            <wp:posOffset>9383285</wp:posOffset>
          </wp:positionV>
          <wp:extent cx="2867611" cy="47707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7611" cy="477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82EBE" w14:textId="77777777" w:rsidR="00313C27" w:rsidRDefault="00313C27">
      <w:r>
        <w:separator/>
      </w:r>
    </w:p>
  </w:footnote>
  <w:footnote w:type="continuationSeparator" w:id="0">
    <w:p w14:paraId="7EB549FC" w14:textId="77777777" w:rsidR="00313C27" w:rsidRDefault="00313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BE110" w14:textId="77777777" w:rsidR="007528D6" w:rsidRDefault="00313C2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575296" behindDoc="1" locked="0" layoutInCell="1" allowOverlap="1" wp14:anchorId="08169C53" wp14:editId="6677C5CF">
          <wp:simplePos x="0" y="0"/>
          <wp:positionH relativeFrom="page">
            <wp:posOffset>2986677</wp:posOffset>
          </wp:positionH>
          <wp:positionV relativeFrom="page">
            <wp:posOffset>72547</wp:posOffset>
          </wp:positionV>
          <wp:extent cx="1763712" cy="67199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3712" cy="671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E4D68"/>
    <w:multiLevelType w:val="hybridMultilevel"/>
    <w:tmpl w:val="B75825A0"/>
    <w:lvl w:ilvl="0" w:tplc="BBCC1980">
      <w:start w:val="1"/>
      <w:numFmt w:val="upperRoman"/>
      <w:lvlText w:val="%1."/>
      <w:lvlJc w:val="left"/>
      <w:pPr>
        <w:ind w:left="102" w:hanging="341"/>
        <w:jc w:val="left"/>
      </w:pPr>
      <w:rPr>
        <w:rFonts w:ascii="Century Gothic" w:eastAsia="Century Gothic" w:hAnsi="Century Gothic" w:cs="Century Gothic" w:hint="default"/>
        <w:i/>
        <w:spacing w:val="-4"/>
        <w:w w:val="100"/>
        <w:sz w:val="24"/>
        <w:szCs w:val="24"/>
        <w:lang w:val="es-ES" w:eastAsia="es-ES" w:bidi="es-ES"/>
      </w:rPr>
    </w:lvl>
    <w:lvl w:ilvl="1" w:tplc="8FFAEBAA">
      <w:numFmt w:val="bullet"/>
      <w:lvlText w:val="•"/>
      <w:lvlJc w:val="left"/>
      <w:pPr>
        <w:ind w:left="3360" w:hanging="341"/>
      </w:pPr>
      <w:rPr>
        <w:rFonts w:hint="default"/>
        <w:lang w:val="es-ES" w:eastAsia="es-ES" w:bidi="es-ES"/>
      </w:rPr>
    </w:lvl>
    <w:lvl w:ilvl="2" w:tplc="7AE64EE4">
      <w:numFmt w:val="bullet"/>
      <w:lvlText w:val="•"/>
      <w:lvlJc w:val="left"/>
      <w:pPr>
        <w:ind w:left="3993" w:hanging="341"/>
      </w:pPr>
      <w:rPr>
        <w:rFonts w:hint="default"/>
        <w:lang w:val="es-ES" w:eastAsia="es-ES" w:bidi="es-ES"/>
      </w:rPr>
    </w:lvl>
    <w:lvl w:ilvl="3" w:tplc="E076C252">
      <w:numFmt w:val="bullet"/>
      <w:lvlText w:val="•"/>
      <w:lvlJc w:val="left"/>
      <w:pPr>
        <w:ind w:left="4626" w:hanging="341"/>
      </w:pPr>
      <w:rPr>
        <w:rFonts w:hint="default"/>
        <w:lang w:val="es-ES" w:eastAsia="es-ES" w:bidi="es-ES"/>
      </w:rPr>
    </w:lvl>
    <w:lvl w:ilvl="4" w:tplc="48AA2448">
      <w:numFmt w:val="bullet"/>
      <w:lvlText w:val="•"/>
      <w:lvlJc w:val="left"/>
      <w:pPr>
        <w:ind w:left="5260" w:hanging="341"/>
      </w:pPr>
      <w:rPr>
        <w:rFonts w:hint="default"/>
        <w:lang w:val="es-ES" w:eastAsia="es-ES" w:bidi="es-ES"/>
      </w:rPr>
    </w:lvl>
    <w:lvl w:ilvl="5" w:tplc="5BD218D2">
      <w:numFmt w:val="bullet"/>
      <w:lvlText w:val="•"/>
      <w:lvlJc w:val="left"/>
      <w:pPr>
        <w:ind w:left="5893" w:hanging="341"/>
      </w:pPr>
      <w:rPr>
        <w:rFonts w:hint="default"/>
        <w:lang w:val="es-ES" w:eastAsia="es-ES" w:bidi="es-ES"/>
      </w:rPr>
    </w:lvl>
    <w:lvl w:ilvl="6" w:tplc="88105CAE">
      <w:numFmt w:val="bullet"/>
      <w:lvlText w:val="•"/>
      <w:lvlJc w:val="left"/>
      <w:pPr>
        <w:ind w:left="6526" w:hanging="341"/>
      </w:pPr>
      <w:rPr>
        <w:rFonts w:hint="default"/>
        <w:lang w:val="es-ES" w:eastAsia="es-ES" w:bidi="es-ES"/>
      </w:rPr>
    </w:lvl>
    <w:lvl w:ilvl="7" w:tplc="1B0C199C">
      <w:numFmt w:val="bullet"/>
      <w:lvlText w:val="•"/>
      <w:lvlJc w:val="left"/>
      <w:pPr>
        <w:ind w:left="7160" w:hanging="341"/>
      </w:pPr>
      <w:rPr>
        <w:rFonts w:hint="default"/>
        <w:lang w:val="es-ES" w:eastAsia="es-ES" w:bidi="es-ES"/>
      </w:rPr>
    </w:lvl>
    <w:lvl w:ilvl="8" w:tplc="D82CA004">
      <w:numFmt w:val="bullet"/>
      <w:lvlText w:val="•"/>
      <w:lvlJc w:val="left"/>
      <w:pPr>
        <w:ind w:left="7793" w:hanging="34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D6"/>
    <w:rsid w:val="00313C27"/>
    <w:rsid w:val="007528D6"/>
    <w:rsid w:val="0077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62CC"/>
  <w15:docId w15:val="{5A765558-E8BA-4BFE-BAB4-DF6F8A25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2" w:right="124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Silvia Pérez</cp:lastModifiedBy>
  <cp:revision>2</cp:revision>
  <dcterms:created xsi:type="dcterms:W3CDTF">2020-10-09T00:54:00Z</dcterms:created>
  <dcterms:modified xsi:type="dcterms:W3CDTF">2020-10-09T00:54:00Z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2020-10-09T00:00:00Z</vt:filetime>
  </property>
</Properties>
</file>